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Guests in the Machine:</w:t>
      </w:r>
    </w:p>
    <w:p>
      <w:pPr>
        <w:jc w:val="center"/>
      </w:pPr>
      <w:r>
        <w:rPr>
          <w:b/>
          <w:sz w:val="32"/>
        </w:rPr>
        <w:t>Extending Third-Party Identity Governance</w:t>
      </w:r>
    </w:p>
    <w:p>
      <w:pPr>
        <w:jc w:val="center"/>
      </w:pPr>
      <w:r>
        <w:rPr>
          <w:b/>
          <w:sz w:val="32"/>
        </w:rPr>
        <w:t>to Vendor-Embedded AI Agents</w:t>
      </w:r>
    </w:p>
    <w:p>
      <w:pPr>
        <w:jc w:val="center"/>
      </w:pPr>
      <w:r>
        <w:t>Prabin Shrestha</w:t>
      </w:r>
    </w:p>
    <w:p>
      <w:pPr>
        <w:jc w:val="center"/>
      </w:pPr>
      <w:r>
        <w:t>University of the Cumberlands</w:t>
      </w:r>
    </w:p>
    <w:p>
      <w:pPr>
        <w:jc w:val="center"/>
      </w:pPr>
      <w:r>
        <w:t>prabinshrestha903@gmail.com</w:t>
      </w:r>
    </w:p>
    <w:p>
      <w:pPr>
        <w:jc w:val="center"/>
      </w:pPr>
      <w:r>
        <w:t>October 5, 2026</w:t>
      </w:r>
    </w:p>
    <w:p/>
    <w:p>
      <w:pPr>
        <w:pStyle w:val="Heading1"/>
      </w:pPr>
      <w:r>
        <w:t>Abstract</w:t>
      </w:r>
    </w:p>
    <w:p>
      <w:r>
        <w:t>Enterprises have learned to govern third-party people: a contractor receives a sponsored account, scoped access, an expiration date, and an offboarding workflow when the engagement ends. Vendor-embedded AI agents receive none of that treatment. Such agents arrive inside product updates, act under the credentials of the integration that installed them, and change behavior when the vendor ships a new model, without passing through any access review the enterprise designed. The gap is precise: no published work defines how an enterprise discovers vendor-embedded agents, what attestation it should demand before granting access, how sponsorship and scoping should work when the enterprise does not operate the agent, or how offboarding fires when a contract rather than an employment record ends. This paper answers with TAO, a conceptual lifecycle framework of three stages, Onboard, Oversee, and Offboard, built from six controls: discover, attest, sponsor, scope, monitor, and retire. Each control extends a practice identity teams already run for human third parties. The contributions are (1) a problem analysis of the channels through which vendor agents enter the enterprise and the properties that defeat current third-party governance; (2) the TAO framework itself, with named components, an operating sequence, and a worked scenario that traces an invoice-processing agent through every control; and (3) a research agenda covering machine-readable attestation standards, vendor-agent hygiene metrics, and integration with existing identity governance workflows.</w:t>
      </w:r>
    </w:p>
    <w:p>
      <w:pPr>
        <w:pStyle w:val="Heading1"/>
      </w:pPr>
      <w:r>
        <w:t>Index Terms</w:t>
      </w:r>
    </w:p>
    <w:p>
      <w:r>
        <w:t>third-party risk, vendor AI agents, supply chain, identity governance, attestation, offboarding.</w:t>
      </w:r>
    </w:p>
    <w:p>
      <w:pPr>
        <w:pStyle w:val="Heading1"/>
      </w:pPr>
      <w:r>
        <w:t>1. Introduction</w:t>
      </w:r>
    </w:p>
    <w:p>
      <w:pPr>
        <w:pStyle w:val="Heading2"/>
      </w:pPr>
      <w:r>
        <w:t>1.1 Research Problem</w:t>
      </w:r>
    </w:p>
    <w:p>
      <w:r>
        <w:t>Call it a third-party identity program or not, every enterprise runs one. Contractors get accounts with end dates. Vendors get guest access, and a sponsor vouches for them. When the contract ends, somebody turns the access off. Ideally that is an automated workflow. In practice, it is often a tired administrator with a ticket queue. Experience with contractor access cleanup shows the same pattern, just wearing newer clothes. The machinery is imperfect. It exists, though, and auditors know how to check it.</w:t>
      </w:r>
    </w:p>
    <w:p>
      <w:r>
        <w:t>Agents built by somebody else skip all of it. A vendor ships an agent inside a product update. The update was approved. The agent never got a separate review. It starts acting under the credentials of the integration that installed it, and that is often a service account holding far more access than the agent’s job requires. Months later the vendor swaps the underlying model. The agent behaves differently now, in ways nobody in the enterprise approved. Nobody in the enterprise knew there was anything to approve.</w:t>
      </w:r>
    </w:p>
    <w:p>
      <w:r>
        <w:t>The numbers say the gap is already large. Orchid Security’s Identity Gap: 2026 Snapshot reports that 57% of enterprise identity is now invisible to IAM systems, that 67% of non-human accounts are created directly inside applications outside central identity providers, and that 40% of accounts are orphaned [16]. IDC’s 2026 research on agentic AI found that third-party vendors embedding AI agents into SaaS applications creates exposure that existing identity programs do not reach. One interviewed leader put it bluntly: “there is risk I do not control” [15]. Healthcare is worse. 72% of organizations told Imprivata and Vanson Bourne that AI tools or agents had been deployed without formal IT approval, while only 17% believed their existing IAM frameworks were sufficient without adaptation [19].</w:t>
      </w:r>
    </w:p>
    <w:p>
      <w:pPr>
        <w:pStyle w:val="Heading2"/>
      </w:pPr>
      <w:r>
        <w:t>1.2 Research Gap</w:t>
      </w:r>
    </w:p>
    <w:p>
      <w:r>
        <w:t>This is not shadow AI in the older sense of the term. Shadow AI once meant an employee pasting data into a public chatbot. The new version is structural. Sanctioned vendors embed agents into sanctioned products. Employees wire agents into production systems through no-code connectors. Procurement approved the product and the connector. Nobody approved the agent, because at approval time the agent did not exist as a governable thing. The OWASP agentic-AI maturity model now separates these cases out explicitly. The vendor-embedded assistant an enterprise consumes but does not build sits at adoption tier AT1, while externally extended and federated agents sit at AT6 and AT8, each one with a wider trust boundary than the last [12].</w:t>
      </w:r>
    </w:p>
    <w:p>
      <w:r>
        <w:t>Research on agent identity has moved fast. It has just moved in a different direction. Delegation frameworks now extend OAuth 2.0 and OpenID Connect with agent-specific credentials [1]. An OpenID Foundation whitepaper maps the identity-management agenda for agentic AI [2], alongside an integrated PAM and IAM framework for agentic systems [3] and formal treatments of how authorization must propagate across multi-agent delegation chains [4], [5]. Vendors have shipped platforms to match. Microsoft’s Entra Agent ID and Agent 365 give agents first-class identities, sponsors, and lifecycle governance [13]. DigiCert’s AI Trust Manager issues portable agent passports with policy-based visas and a kill switch [14]. All of it targets agents the enterprise builds and runs itself.</w:t>
      </w:r>
    </w:p>
    <w:p>
      <w:r>
        <w:t>Nobody has written the paper about the agents the enterprise did not build. That gap is the subject of this paper. Vendor-embedded agents, employee-wired agents, and purchased agent platforms each create identities outside the enterprise’s identity provider, yet each acts inside the enterprise’s trust boundary.</w:t>
      </w:r>
    </w:p>
    <w:p>
      <w:pPr>
        <w:pStyle w:val="Heading2"/>
      </w:pPr>
      <w:r>
        <w:t>1.3 Paper Contribution</w:t>
      </w:r>
    </w:p>
    <w:p>
      <w:r>
        <w:t>The contribution is a conceptual framework, TAO (Onboard, Oversee, Offboard), that extends the familiar third-party identity lifecycle to vendor agents through six controls: discover, attest, sponsor, scope, monitor, and retire. No experiments and no measurements are presented. The contribution is a vocabulary, a set of controls, and a research agenda.</w:t>
      </w:r>
    </w:p>
    <w:p>
      <w:r>
        <w:t>The contributions are: (1) a characterization of vendor-embedded, employee-wired, and purchased agent platforms as a third-party identity problem, organized by arrival channel and by the properties of inherited authority, unilateral change, and the missing leaver event; (2) TAO, a three-stage lifecycle framework whose six controls map onto practices identity teams already run for human third parties, presented as named components, an operating sequence, and a worked scenario; and (3) an agenda for the attestation standards, hygiene metrics, and governance integration the field still lacks.</w:t>
      </w:r>
    </w:p>
    <w:p>
      <w:pPr>
        <w:pStyle w:val="Heading2"/>
      </w:pPr>
      <w:r>
        <w:t>1.4 Paper Structure</w:t>
      </w:r>
    </w:p>
    <w:p>
      <w:r>
        <w:t>The sections that follow are organized as follows. Foundations and Related Work surveys the literature and states where it stops. Problem Analysis characterizes the channels and properties that make vendor agents a distinct governance problem. The TAO Framework section defines the framework’s principles and controls, traces its operating sequence, and walks an illustrative scenario through every control. Discussion states the implications, limitations, and open challenges. The Conclusion draws the lessons together.</w:t>
      </w:r>
    </w:p>
    <w:p>
      <w:pPr>
        <w:pStyle w:val="Heading1"/>
      </w:pPr>
      <w:r>
        <w:t>2. Foundations and Related Work</w:t>
      </w:r>
    </w:p>
    <w:p>
      <w:r>
        <w:t>The literature that bears on vendor-embedded agents sits in separate lines of work: delegation and agent identity, lifecycle frameworks, authorization, identity standards, threat research, and industry platforms and reporting. Each line establishes part of what governance requires. None reaches the enterprise process layer that decides whether a vendor’s agent is admitted at all.</w:t>
      </w:r>
    </w:p>
    <w:p>
      <w:pPr>
        <w:pStyle w:val="Heading2"/>
      </w:pPr>
      <w:r>
        <w:t>2.1 Delegation and Agent Identity</w:t>
      </w:r>
    </w:p>
    <w:p>
      <w:r>
        <w:t>Agent identity has become one of the fastest-moving corners of security research, and the identity layer is where most of the work sits. South et al. proposed extending OAuth 2.0 and OpenID Connect with agent-specific credentials and metadata, so a human user can delegate scoped authority to an agent while keeping the chain of accountability intact [1]. A follow-up OpenID Foundation whitepaper widened the lens. It surveys authentication, authorization, and identity management for agentic AI and sets a strategic agenda that includes agent-centric identities and delegated authority [2]. Both papers are foundational. Both also assume the interesting question is how agents prove who they are. Neither asks the prior question: how does an enterprise decide whether a vendor’s agent should exist inside its boundary in the first place?</w:t>
      </w:r>
    </w:p>
    <w:p>
      <w:pPr>
        <w:pStyle w:val="Heading2"/>
      </w:pPr>
      <w:r>
        <w:t>2.2 Lifecycle and Authorization</w:t>
      </w:r>
    </w:p>
    <w:p>
      <w:r>
        <w:t>Chowdhary’s integrated PAM and IAM framework treats autonomous agents as first-class identity subjects, with lifecycle management, just-in-time credential provisioning, context-aware policy enforcement, and continuous behavior monitoring [3]. In spirit, it is the closest published work to TAO. It recognizes that agents need the full identity lifecycle, not just an authentication ceremony. But its subject is the enterprise’s own agentic systems, and its controls assume the enterprise operates the agent platform. A vendor’s agent breaks that assumption. The enterprise cannot provision its credentials. It cannot instrument its runtime. It can only decide what the agent is allowed to touch, and to know what changed, it needs the vendor’s cooperation.</w:t>
      </w:r>
    </w:p>
    <w:p>
      <w:r>
        <w:t>On the authorization side, Tallam formalized authorization propagation: the requirement that authorization invariants hold as non-human principals retrieve data, delegate tasks, and synthesize results across boundaries. From that definition he derived structural requirements, including explicit bounded delegation and workflow-scoped audit traces [4]. Dantuluri and Sundi took an empirical route. Their gap analysis showed that default agent runtimes fail delegation-chain integrity, least-privilege attenuation, sender-constrained credentials, short-lived issuance, and revocation propagation, and they argued that authorization decisions must be made by infrastructure policy points rather than by the model [5]. These are runtime enforcement results. They show how to constrain an agent once it is operating. They do not show how the agent got its authority, who vouched for it, or what happens when its vendor changes it.</w:t>
      </w:r>
    </w:p>
    <w:p>
      <w:pPr>
        <w:pStyle w:val="Heading2"/>
      </w:pPr>
      <w:r>
        <w:t>2.3 Standards, Threats, and Governance Vocabulary</w:t>
      </w:r>
    </w:p>
    <w:p>
      <w:r>
        <w:t>The standards and platform layer is filling in quickly. OAuth 2.0 Token Exchange (RFC 8693) provides the mechanism for representing one party acting on behalf of another [10]. SPIFFE and its SPIRE implementation provide a CNCF-graduated standard for cryptographic workload identity, with short-lived, automatically rotated credentials gated on platform attestation [11]. NIST’s AI Risk Management Framework [8] and the revised SP 800-63-4 Digital Identity Guidelines (2025) [9] supply the governance vocabulary, though neither one addresses vendor-operated agents directly. The threat model, at least, is well documented. Indirect prompt injection compromises LLM-integrated applications [7], and excessive agency remains on the OWASP Top 10 for LLM Applications [6].</w:t>
      </w:r>
    </w:p>
    <w:p>
      <w:pPr>
        <w:pStyle w:val="Heading2"/>
      </w:pPr>
      <w:r>
        <w:t>2.4 Industry Platforms and Reporting</w:t>
      </w:r>
    </w:p>
    <w:p>
      <w:r>
        <w:t>Industry has moved from guidance to product. Microsoft’s Entra Agent ID assigns each agent a first-class identity with an optional sponsor. It applies Conditional Access and Identity Governance to agents, and it puts sponsors through access reviews on the same cadence as user reviews, including automatic reassignment when a sponsor leaves [13]. Agent 365, generally available May 1, 2026, adds the unified registry and control plane [13]. DigiCert’s AI Trust Manager, generally available September 2026, works differently. It issues each agent a portable, cryptographically signed AI Passport binding identity to an accountable owner, attaches policy-based “visas” that define which systems, data, and actions the agent may access and for how long, and provides a kill switch that revokes authority when trust changes [14]. Okta’s shadow-AI guidance recommends registering vendor-supplied agents as first-class directory principals bound to a human owner, a business justification, and a lifecycle expiration date [18].</w:t>
      </w:r>
    </w:p>
    <w:p>
      <w:r>
        <w:t>Industry reporting on identity threats forms part of the same background. SpyCloud’s Identity Threat Report [17] reports on the identity-threat conditions facing enterprises, and that reporting matters here because an agent admitted without sponsorship, scoping, or an expiration date becomes part of the exposed identity surface such reporting tracks: an identity the enterprise holds risk for without having made a deliberate admission decision.</w:t>
      </w:r>
    </w:p>
    <w:p>
      <w:pPr>
        <w:pStyle w:val="Heading2"/>
      </w:pPr>
      <w:r>
        <w:t>2.5 The Missing Process Layer</w:t>
      </w:r>
    </w:p>
    <w:p>
      <w:r>
        <w:t>What is missing sits between these products and the vendor relationship: the enterprise process layer. No published work defines how an enterprise discovers vendor-embedded agents. None defines what attestation it should demand before granting them access, how sponsorship and scoping should work when the enterprise does not operate the agent, or how offboarding fires when the contract, not an HR record, ends. That is the gap TAO is designed to fill.</w:t>
      </w:r>
    </w:p>
    <w:p>
      <w:pPr>
        <w:pStyle w:val="Heading1"/>
      </w:pPr>
      <w:r>
        <w:t>3. Problem Analysis</w:t>
      </w:r>
    </w:p>
    <w:p>
      <w:pPr>
        <w:pStyle w:val="Heading2"/>
      </w:pPr>
      <w:r>
        <w:t>3.1 Arrival Channels</w:t>
      </w:r>
    </w:p>
    <w:p>
      <w:r>
        <w:t>Vendor agents reach the enterprise through three channels. Most governance programs watch at most one of them.</w:t>
      </w:r>
    </w:p>
    <w:p>
      <w:r>
        <w:t>Channel one is the vendor-embedded agent. The enterprise buys or renews a SaaS product. A later product update switches an agent on inside it. Salesforce’s Agentforce, Microsoft’s Copilot agents, and ServiceNow’s agents all follow this pattern. Procurement approved the product. Nobody approved the agent, because the agent arrived in a release note nobody read. The OWASP maturity model places exactly this case at tier AT1, fully vendor-controlled and consumed rather than built [12]. Put plainly, the enterprise has the least leverage where it needs the most.</w:t>
      </w:r>
    </w:p>
    <w:p>
      <w:r>
        <w:t>Channel two is the employee-wired agent. A business user connects a no-code automation, a custom GPT, or a desktop assistant to a production system, through a connector or an API key the user was legitimately issued. The credential is approved. The agent wielding it was never reviewed. This is the citizen-developer tier, AT3 [12], and it inherits a classic IAM failure mode. Access was granted to a person, for a purpose. Software now exercises it, for whatever purpose the software pursues.</w:t>
      </w:r>
    </w:p>
    <w:p>
      <w:r>
        <w:t>Channel three is the purchased agent platform. A business unit buys a standalone agent product without IT involvement. The platform then creates its own identity footprint in the customer’s environment: service accounts, API keys, OAuth grants. The central IAM team discovers that footprint after the fact, if it discovers it at all. Orchid Security’s finding that 67% of non-human accounts are created directly inside applications, unseen by central IAM [16], describes exactly this footprint.</w:t>
      </w:r>
    </w:p>
    <w:p>
      <w:pPr>
        <w:pStyle w:val="Heading2"/>
      </w:pPr>
      <w:r>
        <w:t>3.2 Properties That Defeat Current Practice</w:t>
      </w:r>
    </w:p>
    <w:p>
      <w:r>
        <w:t>Three properties make these agents harder to govern than the third parties IAM teams already handle. The first is inherited authority. A vendor agent typically acts under the credentials of the integration that installed it, and those credentials were sized for the integration’s broadest needs, not the agent’s narrowest task. On paper the human remains the subject. In practice the agent is the actor, and most audit trails record the former. The second property is unilateral change. The vendor can replace the model, widen the tool set, or alter data handling without asking, because the contract covers the product, not the agent’s behavior. Attestation, if it happened at procurement, goes stale silently. The third is the missing leaver event. Contractor offboarding fires on an HR record or a contract end date that the IAM system can see. A vendor agent has no HR record. Its “contract” is a product subscription, and nobody connects the renewal to the agent’s entitlements. When the business stops using the feature, the credentials usually stay.</w:t>
      </w:r>
    </w:p>
    <w:p>
      <w:r>
        <w:t>The result is a class of third party that holds the enterprise’s data and acts on the enterprise’s systems while sitting outside the enterprise’s third-party governance. The controls the industry has built (delegation protocols [1], runtime authorization [4], [5], agent identity platforms [13], [14]) are necessary. They are not sufficient. They govern the agent’s actions, not the enterprise’s decision to admit the agent. TAO addresses the admission decision, and everything that must follow it.</w:t>
      </w:r>
    </w:p>
    <w:p>
      <w:pPr>
        <w:pStyle w:val="Heading1"/>
      </w:pPr>
      <w:r>
        <w:t>4. The TAO Framework: Onboard, Oversee, Offboard</w:t>
      </w:r>
    </w:p>
    <w:p>
      <w:r>
        <w:t>TAO extends the third-party identity lifecycle to vendor agents. It has three stages, and they mirror how enterprises already handle human third parties: onboarding, oversight, offboarding. Six controls do the work. Five design principles run through all of them.</w:t>
      </w:r>
    </w:p>
    <w:p>
      <w:pPr>
        <w:pStyle w:val="Heading2"/>
      </w:pPr>
      <w:r>
        <w:t>4.1 Design Principles</w:t>
      </w:r>
    </w:p>
    <w:p>
      <w:r>
        <w:t>Every agent has a named human sponsor. No sponsor, no access. The sponsor answers for the agent the way a manager answers for a contractor.</w:t>
      </w:r>
    </w:p>
    <w:p>
      <w:r>
        <w:t>No standing privilege. A vendor agent holds no persistent entitlement broader than what its current task requires. Access is scoped and time-bound by default.</w:t>
      </w:r>
    </w:p>
    <w:p>
      <w:r>
        <w:t>Attestation comes before access, and again after every material change. What the vendor claims about the agent gets checked at admission, and checked again when the agent changes.</w:t>
      </w:r>
    </w:p>
    <w:p>
      <w:r>
        <w:t>The enterprise can always pull the plug. Revocation has to work even when the vendor’s platform is the thing being revoked.</w:t>
      </w:r>
    </w:p>
    <w:p>
      <w:r>
        <w:t>Every action is attributable. The audit trail binds the human sponsor, the vendor, the agent instance, and the action, across the trust boundary.</w:t>
      </w:r>
    </w:p>
    <w:p>
      <w:pPr>
        <w:pStyle w:val="Heading2"/>
      </w:pPr>
      <w:r>
        <w:t>4.2 Stage One: Onboard</w:t>
      </w:r>
    </w:p>
    <w:p>
      <w:r>
        <w:t>Control 1: Discover. You cannot govern what you cannot see, and vendor agents are built to be invisible to traditional IAM. They arrive inside approved products. They act under existing credentials. So discovery has to be continuous, not a one-time inventory project. The practical sources already exist: OAuth grant audits and identity security posture management (ISPM) scans that surface third-party AI authorizations, CASB telemetry, procurement and renewal records, and vendor release-note monitoring for newly activated agent features. Okta’s guidance makes the same point operationally: scan the identity tenant continuously for unauthorized AI authorizations and unmanaged non-human identities [18]. Discovery produces one thing, a registry entry for each vendor agent. It is the same idea as Microsoft’s unified agent registry [13], and it records what the agent is, where it came from, and what it can reach. An agent with no registry entry is, by definition, shadow. And shadow is a finding, not a mystery.</w:t>
      </w:r>
    </w:p>
    <w:p>
      <w:r>
        <w:t>Control 2: Attest. Before a vendor agent gets access, the vendor attests to what the agent is. Think of the attestation package as the vendor risk questionnaire, rebuilt for agents. It has to be continuous, and eventually it has to be machine-readable. At minimum it covers the agent’s identity and version, the model or models behind it, and what data the agent can read, write, and transmit, along with where that data may go. It covers sub-processors and fourth parties involved in the agent’s operation, and the relevant certifications. And it covers a change-notification commitment, the vendor’s promise to disclose material changes before they take effect. DigiCert’s AI Bill of Materials concept points in this direction: agents, models, and connectors signed, scanned, and documented before they run [14]. Where the vendor cannot or will not attest, that refusal is itself an input to the risk decision. The enterprise may still admit the agent. It admits it into a tighter sandbox, not into production data.</w:t>
      </w:r>
    </w:p>
    <w:p>
      <w:r>
        <w:t>Control 3: Sponsor. Every vendor agent is bound to a named human sponsor inside the enterprise, with a documented business justification and an expiration date. This is the contractor-sponsorship pattern, applied without modification. It is also where industry practice is converging. IDC’s 2026 research found consensus among identity leaders that every agent needs a named human sponsor and a managed lifecycle [15]. Entra Agent ID makes the sponsor a first-class property of the agent identity [13]. Okta’s guidance requires binding each agent identity to an authenticated human owner [18]. The sponsor approves the agent’s scope and answers for its actions. The sponsor also recertifies its access on a cadence. It is the same motion as a user access review, applied to a non-human. When the sponsor leaves, ownership must transfer automatically rather than silently orphaning the agent. Microsoft’s sponsor reassignment on termination is the reference behavior [13].</w:t>
      </w:r>
    </w:p>
    <w:p>
      <w:r>
        <w:t>Control 4: Scope. The agent receives the least privilege its task requires, expressed as task-scoped, time-bound grants. Not the ambient authority of the integration that installed it. In practice this means no inherited service-account credentials. It means short-lived, sender-constrained tokens, which are the properties Dantuluri and Sundi identify as baseline requirements for delegated agent authority [5]. It means environment segmentation, so a vendor agent admitted for one system cannot wander into another, and explicit data boundaries. A vendor agent with read access to “everything the integration could see” is how breaches happen. Scoping is also where the enterprise records what the agent is for. A vendor agent admitted to reconcile invoices does not get to run arbitrary queries because its model decided to be helpful.</w:t>
      </w:r>
    </w:p>
    <w:p>
      <w:pPr>
        <w:pStyle w:val="Heading2"/>
      </w:pPr>
      <w:r>
        <w:t>4.3 Stage Two: Oversee</w:t>
      </w:r>
    </w:p>
    <w:p>
      <w:r>
        <w:t>Control 5: Monitor. Admission is not a one-time event, because the vendor agent is not a static thing. The vendor ships a new model. It adds tools. It changes data handling. Each of those is a material change, and each one must trigger re-attestation under Control 2, followed by re-scoping under Control 4 if the change widens what the agent can do. Between changes, the enterprise watches behavior: which systems the agent touches, what data it moves, whether its activity matches the declared purpose. Anomalies route to the sponsor, not to a generic queue. The sponsor is the person who knows what the agent is supposed to be doing. Periodic recertification, on the same cadence as human access reviews, forces the explicit question: does this agent still need this access? The 40% orphaned-account rate Orchid Security reports [16] is what happens when nobody is forced to ask that question.</w:t>
      </w:r>
    </w:p>
    <w:p>
      <w:r>
        <w:t>Monitoring also has to cross the trust boundary. The enterprise cannot instrument the vendor’s runtime, so it monitors at the points it does control: the identity provider’s sign-in and token-issuance logs, the API gateway, and the data-loss-prevention telemetry on what leaves the boundary. Token Exchange (RFC 8693) gives the mechanism for keeping both identities visible in these logs, the human subject and the agent actor [10], so a vendor agent’s actions never collapse into an indistinguishable service-account blur. Where the vendor offers stronger proof, workload attestation in the SPIFFE/SPIRE model [11] or a signed agent passport [14], the enterprise should prefer it. Where it does not, the enterprise compensates with tighter scopes and shorter token lifetimes.</w:t>
      </w:r>
    </w:p>
    <w:p>
      <w:pPr>
        <w:pStyle w:val="Heading2"/>
      </w:pPr>
      <w:r>
        <w:t>4.4 Stage Three: Offboard</w:t>
      </w:r>
    </w:p>
    <w:p>
      <w:r>
        <w:t>Control 6: Retire. Offboarding fires on the events that actually end vendor relationships: contract termination or non-renewal, replacement of the vendor, a security incident, or the sponsor’s determination that the agent is no longer needed. Retirement must be a workflow, not a hope. It revokes tokens and API keys. It disables the agent’s endpoints and OAuth grants, removes its entitlements from every downstream system, and preserves the relevant logs for the retention period. It is the same checklist identity teams run for departing contractors, applied to an identity that never had an HR record. The kill switch is the backstop. When trust changes suddenly, the enterprise must be able to revoke the agent’s authority immediately, at the source, even across organizational boundaries. DigiCert’s model, revoking the passport and quarantining the agent under owner-set policy [14], is the right shape. The enterprise version also needs the unglamorous parts, like finding every place the vendor’s credentials were stored.</w:t>
      </w:r>
    </w:p>
    <w:p>
      <w:r>
        <w:t>Retirement has one more requirement that human offboarding rarely needs: verifying the absence. A vendor agent that was “disabled” but retains a valid OAuth grant in a downstream SaaS app is not retired. The retirement workflow should re-run discovery (Control 1), scoped to the retired agent, and confirm that no live credential, grant, or entitlement remains. Orphaned vendor access is the failure mode. The check is the control.</w:t>
      </w:r>
    </w:p>
    <w:p>
      <w:pPr>
        <w:pStyle w:val="Heading2"/>
      </w:pPr>
      <w:r>
        <w:t>4.5 Operating Sequence</w:t>
      </w:r>
    </w:p>
    <w:p>
      <w:r>
        <w:t>The controls act in a fixed order, and the order is the framework’s operating sequence. Discovery runs first and continuously, because every later control works on the registry entry discovery created; an agent with no registry entry receives no attestation review, no sponsor, and no scope. Attestation follows and precedes access: the vendor’s claims are checked before any grant is made, and a refusal to attest narrows admission to a tighter sandbox. Sponsorship then binds the agent to a named human with a business justification and an expiration date, and scoping issues the task-scoped, time-bound grants the attested purpose requires. Monitoring runs for as long as the agent holds access, routing anomalies to the sponsor; a material vendor change sends the agent back through attestation and, where the change widens reach, through scoping again, so the sequence loops rather than ending at admission. Retirement closes the sequence: grants and credentials are revoked, logs are preserved, and discovery runs once more, scoped to the retired agent, to verify that nothing remains.</w:t>
      </w:r>
    </w:p>
    <w:p>
      <w:pPr>
        <w:pStyle w:val="Heading2"/>
      </w:pPr>
      <w:r>
        <w:t>4.6 Worked Scenario: An Invoice-Processing Agent</w:t>
      </w:r>
    </w:p>
    <w:p>
      <w:r>
        <w:t>The following scenario is illustrative, not a case study. A vendor’s invoice-processing agent arrives inside a procurement SaaS update. Discovery flags it two ways, through release-note monitoring and through an ISPM scan that notices a new OAuth authorization (Control 1). The vendor’s attestation package states the agent’s version, its data handling, and a commitment to disclose model changes (Control 2). A finance manager sponsors it, with a business justification and a one-year expiration (Control 3). The agent receives task-scoped, short-lived tokens limited to the invoicing module, not the service account’s standing access to the whole ERP (Control 4). Six months later the vendor announces a model upgrade. Re-attestation is triggered, and the new model’s expanded tool set prompts a scope review before the upgrade is allowed near production data (Control 5). When the company switches vendors the following year, the retirement workflow revokes the grants, purges the credentials, preserves the logs, and re-runs discovery to confirm nothing remains (Control 6). Nothing in this walkthrough requires technology that does not exist. It requires the enterprise to treat the vendor’s agent the way it already treats the vendor’s people: admitted deliberately, watched continuously, and removed completely.</w:t>
      </w:r>
    </w:p>
    <w:p>
      <w:pPr>
        <w:pStyle w:val="Heading1"/>
      </w:pPr>
      <w:r>
        <w:t>5. Discussion</w:t>
      </w:r>
    </w:p>
    <w:p>
      <w:r>
        <w:t>For practice, the implication is that vendor agents belong inside the third-party identity program an enterprise already runs, rather than in a separate AI inventory that no team owns. Admission, sponsorship, scoping, monitoring, and retirement reuse motions that identity teams, procurement, and vendor risk already perform for human third parties, and ownership sits where third-party human governance already lives, usually the IAM team, in partnership with vendor risk.</w:t>
      </w:r>
    </w:p>
    <w:p>
      <w:pPr>
        <w:pStyle w:val="Heading2"/>
      </w:pPr>
      <w:r>
        <w:t>5.1 Limitations</w:t>
      </w:r>
    </w:p>
    <w:p>
      <w:r>
        <w:t>TAO is a conceptual framework. Its limits are stated plainly. First, it has not been implemented or evaluated. The controls come from established IAM practice and from documented industry failures, but no deployment, no measurements, and no claim that any particular enterprise has run all six controls together are presented. Validation is future work, and it is the first item on the agenda: case studies, red-team exercises against the discovery and retirement controls, or a controlled comparison of sponsored versus unsponsored agent populations.</w:t>
      </w:r>
    </w:p>
    <w:p>
      <w:r>
        <w:t>Second, TAO depends on vendor cooperation that the enterprise cannot compel. Large vendors may publish attestation packages. Small ones may not have the staff. The framework handles this by making non-attestation an explicit risk input rather than a blocker: admit the agent into a tighter sandbox. That is a compromise. A world in which only the largest vendors can clear the bar has its own problems. A machine-readable attestation schema, standardized the way the AI Bill of Materials concept is beginning to be [14], would lower the cost of attesting for everyone. Defining that schema is a concrete research task.</w:t>
      </w:r>
    </w:p>
    <w:p>
      <w:r>
        <w:t>Third, TAO governs admission and lifecycle, not the agent’s runtime behavior. It does not solve prompt injection [7], excessive agency [6], or the authorization-propagation problems Tallam formalizes [4]. It is meant to compose with that work, not replace it. Runtime enforcement constrains what an admitted agent can do. TAO constrains which agents get admitted, on what authority, and for how long. An enterprise needs both. How the two interact, for example how a re-attestation event should propagate to live policy decisions, deserves its own treatment.</w:t>
      </w:r>
    </w:p>
    <w:p>
      <w:r>
        <w:t>Fourth, there is an organizational question the framework does not answer: who owns it? Discovery touches the SOC. Attestation touches procurement and vendor risk. Sponsorship touches the business, and retirement touches IAM operations. In most enterprises those are four different teams with four different backlogs. TAO will fail if it becomes everybody’s second priority. The recommended assignment is where third-party human governance already lives, usually the IAM team, in partnership with vendor risk. The motions are the same, and the tooling mostly exists.</w:t>
      </w:r>
    </w:p>
    <w:p>
      <w:pPr>
        <w:pStyle w:val="Heading2"/>
      </w:pPr>
      <w:r>
        <w:t>5.2 Open Challenges and Future Work</w:t>
      </w:r>
    </w:p>
    <w:p>
      <w:r>
        <w:t>Future work falls into three buckets. Standards: a machine-readable vendor-attestation format, AIBOM conventions for agents, and cross-enterprise passport federation so that one vendor’s attestation is checkable by every customer [14]. Measurement: baseline metrics for vendor-agent hygiene, among them time from agent activation to registry entry, fraction of agents with sponsors, and orphaned-grant rates after retirement, so enterprises can track whether the controls are working. Integration: expressing TAO’s controls inside the IGA workflows teams already run, access requests, approvals, certifications, and automated deprovisioning, rather than as a parallel process that nobody staffs.</w:t>
      </w:r>
    </w:p>
    <w:p>
      <w:pPr>
        <w:pStyle w:val="Heading1"/>
      </w:pPr>
      <w:r>
        <w:t>6. Conclusion</w:t>
      </w:r>
    </w:p>
    <w:p>
      <w:r>
        <w:t>The agents an enterprise did not build are already inside its boundary. They act under its credentials. They change on somebody else’s schedule. So far, the industry’s response has been to build better identity for the agents enterprises build themselves: delegation protocols, runtime authorization, agent identity platforms. That work is necessary. It leaves the harder governance question untouched. How does an enterprise admit a vendor’s agent, hold the vendor to account for what the agent is, watch it while it operates, and remove it completely when the relationship ends?</w:t>
      </w:r>
    </w:p>
    <w:p>
      <w:r>
        <w:t>This paper’s answer is deliberately unglamorous. Enterprises already know how to govern third-party people. TAO extends that discipline (discover, attest, sponsor, scope, monitor, retire) to third-party agents, mapped onto the IAM practices, standards, and platforms that exist today. No new cryptography is required. What is required is the decision to treat a vendor’s agent as a third party in the first place: admitted deliberately, watched continuously, and removed completely. The guests are already in the machine. It is time to start checking invitations.</w:t>
      </w:r>
    </w:p>
    <w:p>
      <w:pPr>
        <w:pStyle w:val="Heading1"/>
      </w:pPr>
      <w:r>
        <w:t>Acknowledgments</w:t>
      </w:r>
    </w:p>
    <w:p>
      <w:r>
        <w:t>AI Disclosure: AI tools were used to assist in drafting and editing this paper. All claims, data, and conclusions were reviewed and verified by the author.</w:t>
      </w:r>
    </w:p>
    <w:p>
      <w:pPr>
        <w:pStyle w:val="Heading1"/>
      </w:pPr>
      <w:r>
        <w:t>References</w:t>
      </w:r>
    </w:p>
    <w:p>
      <w:r>
        <w:t>[1] T. South, S. Marro, T. Hardjono, R. Mahari, C. Deslandes Whitney, D. Greenwood, A. Chan, and A. Pentland, “Authenticated Delegation and Authorized AI Agents,” arXiv:2501.09674, Jan. 2025.</w:t>
      </w:r>
    </w:p>
    <w:p>
      <w:r>
        <w:t>[2] T. South et al., “Identity Management for Agentic AI: The new frontier of authorization, authentication, and security for an AI agent world,” OpenID Foundation Whitepaper, arXiv:2510.25819, Oct. 2025.</w:t>
      </w:r>
    </w:p>
    <w:p>
      <w:r>
        <w:t>[3] S. Chowdhary, “AI Identity for Agentic Systems: Integrating PAM and IAM for Secure Autonomy,” Int. J. Computational and Experimental Science and Engineering, vol. 12, no. 1, pp. 1170–1179, 2026, doi: 10.22399/ijcesen.4985.</w:t>
      </w:r>
    </w:p>
    <w:p>
      <w:r>
        <w:t>[4] K. Tallam, “Authorization Propagation in Multi-Agent AI Systems: Identity Governance as Infrastructure,” arXiv:2605.05440, May 2026.</w:t>
      </w:r>
    </w:p>
    <w:p>
      <w:r>
        <w:t>[5] S. Dantuluri and S. Sundi, “Delegation Without Trust: An Empirical Gap Analysis of Identity, Authorization, and Runtime Governance in Multi-Agent LLM Systems,” arXiv:2609.00267, Sept. 2026.</w:t>
      </w:r>
    </w:p>
    <w:p>
      <w:r>
        <w:t>[6] OWASP, “OWASP Top 10 for LLM Applications 2025.” [Online]. Available: https://owasp.org/www-project-top-10-for-large-language-model-applications/</w:t>
      </w:r>
    </w:p>
    <w:p>
      <w:r>
        <w:t>[7] K. Greshake, S. Abdelnabi, S. Mishra, C. Endres, T. Holz, and M. Fritz, “Not what you’ve signed up for: Compromising real-world LLM-integrated applications with indirect prompt injection,” in Proc. ACM Workshop on Artificial Intelligence and Security (AISec), 2023, doi: 10.1145/3605764.3623985.</w:t>
      </w:r>
    </w:p>
    <w:p>
      <w:r>
        <w:t>[8] National Institute of Standards and Technology, “Artificial Intelligence Risk Management Framework (AI RMF 1.0),” NIST AI 100-1, Jan. 2023.</w:t>
      </w:r>
    </w:p>
    <w:p>
      <w:r>
        <w:t>[9] D. Temoshok et al., “Digital Identity Guidelines,” NIST Special Publication 800-63-4, 2025, doi: 10.6028/NIST.SP.800-63-4.</w:t>
      </w:r>
    </w:p>
    <w:p>
      <w:r>
        <w:t>[10] M. Jones et al., “OAuth 2.0 Token Exchange,” IETF RFC 8693, Jan. 2020.</w:t>
      </w:r>
    </w:p>
    <w:p>
      <w:r>
        <w:t>[11] SPIFFE Project, “Secure Production Identity Framework for Everyone (SPIFFE),” Cloud Native Computing Foundation graduated standard. [Online]. Available: https://spiffe.io/</w:t>
      </w:r>
    </w:p>
    <w:p>
      <w:r>
        <w:t>[12] OWASP, “Agentic AI Security Maturity Model,” adoption tiers AT0–AT8, 2026.</w:t>
      </w:r>
    </w:p>
    <w:p>
      <w:r>
        <w:t>[13] Microsoft, “Microsoft Entra Agent ID and Microsoft Agent 365,” generally available 2026.</w:t>
      </w:r>
    </w:p>
    <w:p>
      <w:r>
        <w:t>[14] DigiCert, “DigiCert AI Trust Manager,” generally available Sept. 2026.</w:t>
      </w:r>
    </w:p>
    <w:p>
      <w:r>
        <w:t>[15] GuidePoint Security, “Agentic AI Security: Key Findings from New IDC Research on the Identity Control Plane,” Sept. 2026.</w:t>
      </w:r>
    </w:p>
    <w:p>
      <w:r>
        <w:t>[16] Orchid Security, “Identity Gap: 2026 Snapshot,” May 2026.</w:t>
      </w:r>
    </w:p>
    <w:p>
      <w:r>
        <w:t>[17] SpyCloud, “2026 Identity Threat Report,” Sept. 2026.</w:t>
      </w:r>
    </w:p>
    <w:p>
      <w:r>
        <w:t>[18] Okta, “How do I prevent shadow AI,” Okta Identity 101, 2026. [Online]. Available: https://www.okta.com/identity-101/how-do-i-prevent-shadow-ai/</w:t>
      </w:r>
    </w:p>
    <w:p>
      <w:r>
        <w:t>[19] Imprivata and Vanson Bourne, “The Agentic AI Trust Gap: Why Healthcare Needs Identity-Led Governance,” Sept. 2026.</w:t>
      </w:r>
    </w:p>
    <w:p>
      <w:pPr>
        <w:pStyle w:val="Heading1"/>
      </w:pPr>
      <w:r>
        <w:t>Author Biography</w:t>
      </w:r>
    </w:p>
    <w:p>
      <w:r>
        <w:t>Prabin Shrestha is an identity and access management practitioner based in Irving, TX 75038, USA. He received the B.S. degree in computer science from McNeese State University and is pursuing the M.S. degree in information technology at the University of the Cumberlands. His professional work centers on identity governance, including Okta and SailPoint deployments, and his research addresses the governance and security of AI agents. ORCID: 0009-0000-9144-558X.</w:t>
      </w:r>
    </w:p>
    <w:p>
      <w:pPr>
        <w:pStyle w:val="Heading1"/>
      </w:pPr>
      <w:r>
        <w:t>License</w:t>
      </w:r>
    </w:p>
    <w:p>
      <w:r>
        <w:t>© 2026 Prabin Shrestha. This paper is licensed under the Creative Commons Attribution-NoDerivatives 4.0 International License (CC BY-ND 4.0). You may share it, in whole and unchanged, with attribution to the author. No modified versions may be distributed. License text: https://creativecommons.org/licenses/by-nd/4.0/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Guests in the Machine: Extending Third-Party Identity Governance to Vendor-Embedded AI Agents</dc:title>
  <dc:subject/>
  <dc:creator>Prabin Shrestha</dc:creator>
  <cp:keywords/>
  <dc:description>generated by python-docx</dc:description>
  <cp:lastModifiedBy/>
  <cp:revision>1</cp:revision>
  <dcterms:created xsi:type="dcterms:W3CDTF">2013-12-23T23:15:00Z</dcterms:created>
  <dcterms:modified xsi:type="dcterms:W3CDTF">2013-12-23T23:15:00Z</dcterms:modified>
  <cp:category/>
</cp:coreProperties>
</file>