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The Alignment Tax</w:t>
      </w:r>
    </w:p>
    <w:p>
      <w:pPr>
        <w:jc w:val="center"/>
      </w:pPr>
      <w:r>
        <w:rPr>
          <w:b/>
          <w:sz w:val="32"/>
        </w:rPr>
        <w:t>Governing AI Agent Identity Inside the Enterprise IAM Estate</w:t>
      </w:r>
    </w:p>
    <w:p>
      <w:pPr>
        <w:jc w:val="center"/>
      </w:pPr>
      <w:r>
        <w:t>Prabin Shrestha</w:t>
      </w:r>
    </w:p>
    <w:p>
      <w:pPr>
        <w:jc w:val="center"/>
      </w:pPr>
      <w:r>
        <w:t>University of the Cumberlands</w:t>
      </w:r>
    </w:p>
    <w:p>
      <w:pPr>
        <w:jc w:val="center"/>
      </w:pPr>
      <w:r>
        <w:t>prabinshrestha903@gmail.com</w:t>
      </w:r>
    </w:p>
    <w:p>
      <w:pPr>
        <w:jc w:val="center"/>
      </w:pPr>
      <w:r>
        <w:t>October 2026</w:t>
      </w:r>
    </w:p>
    <w:p/>
    <w:p>
      <w:pPr>
        <w:pStyle w:val="Heading1"/>
      </w:pPr>
      <w:r>
        <w:t>Abstract</w:t>
      </w:r>
    </w:p>
    <w:p>
      <w:r>
        <w:t>Autonomous AI agents now run in production as identity subjects that enterprise identity and access management (IAM) was never built to govern. An agent authenticates programmatically, executes at machine speed, delegates authority to sub-agents, crosses organizational trust boundaries, and persists after the business purpose for its privileges has expired. The governance gap has three precise parts: no authoritative lifecycle source defines when an agent identity begins or ends; ownership and attestation for non-human identities remain unclear in most organizations; and no single standard states how agent identities are issued, scoped, and retired inside the enterprise IAM estate. The paper names the recurring cost of closing that gap the alignment tax and answers with an agent identity control plane that extends existing IAM practice to agentic workloads. The analysis builds on the Cloud Security Alliance’s Agent Identity Governance Framework (2026), the NIST AI Risk Management Framework and its Generative AI Profile, and the OWASP Top 10 for LLM Applications (2025), together with recent platform moves by SailPoint. Contributions are (1) a definition of the alignment tax in five measurable dimensions (lifecycle, access-modeling, attestation, credential, and evidence); (2) a mapping of what the existing standards and frameworks cover and what each one leaves to the IAM team; and (3) an agent identity control plane, with practitioner steps for extending a platform such as SailPoint Identity Security Cloud to agentic workloads.</w:t>
      </w:r>
    </w:p>
    <w:p>
      <w:pPr>
        <w:pStyle w:val="Heading1"/>
      </w:pPr>
      <w:r>
        <w:t>Index Terms</w:t>
      </w:r>
    </w:p>
    <w:p>
      <w:r>
        <w:t>AI agent identity, IAM, identity governance, non-human identity, NIST AI RMF, SPIFFE, SailPoint.</w:t>
      </w:r>
    </w:p>
    <w:p>
      <w:pPr>
        <w:pStyle w:val="Heading1"/>
      </w:pPr>
      <w:r>
        <w:t>1. Introduction</w:t>
      </w:r>
    </w:p>
    <w:p>
      <w:pPr>
        <w:pStyle w:val="Heading2"/>
      </w:pPr>
      <w:r>
        <w:t>1.1 Research Problem</w:t>
      </w:r>
    </w:p>
    <w:p>
      <w:r>
        <w:t>Gartner named agentic AI a top strategic technology trend for 2025. It predicted that by 2028, 33% of enterprise software applications would incorporate agentic AI, up from less than 1% in 2024, and that agentic AI would make at least 15% of day-to-day work decisions autonomously, up from zero [5]. Barely a year later, the same firm warned that more than 40% of agentic AI projects would be canceled by the end of 2027, pointing to escalating costs, unclear business value, and inadequate risk controls [6]. Both predictions can be true at once. Companies are racing to deploy agents, and at the same time learning that running agents in production is a different discipline from running a pilot.</w:t>
      </w:r>
    </w:p>
    <w:p>
      <w:r>
        <w:t>The binding constraint is not model quality, context windows, or inference cost. It is identity. From the infrastructure’s point of view, a production agent is an identity: it holds credentials, it is granted permissions, it takes actions that someone must be able to attribute, and one day it has to be decommissioned. Enterprise IAM was built over two decades on one assumption, that the subject of access control is a human being. The directories, the identity governance platforms, the certification campaigns, and the joiner-mover-leaver processes all rest on it. AI agents violate that assumption in nearly every dimension that matters for governance.</w:t>
      </w:r>
    </w:p>
    <w:p>
      <w:pPr>
        <w:pStyle w:val="Heading2"/>
      </w:pPr>
      <w:r>
        <w:t>1.2 Research Gap</w:t>
      </w:r>
    </w:p>
    <w:p>
      <w:r>
        <w:t>Non-human identities themselves are nothing new. Service accounts, API keys, RPA bots, and CI/CD workload credentials have been piling up in every enterprise for years, and they remain the worst-governed corner of the estate. What is new is the scale, the autonomy, and the delegation. A service account runs a fixed script against a known set of resources. An AI agent plans. It picks its tools as it goes, calls external services, spawns sub-agents that live for minutes, and chains delegated authority across trust boundaries, in real time, with no human directing each step [4]. A governance gap an organization could tolerate for thousands of static service accounts cannot survive hundreds of thousands of autonomous agents.</w:t>
      </w:r>
    </w:p>
    <w:p>
      <w:r>
        <w:t>The gap is not a missing tool. The gap is a set of undefined governance objects: no authoritative source defines the agent lifecycle, no settled ownership model states who answers for an agent, and no existing standard states how agent identity, access control, and attestation fit together inside the IAM estate. Practice therefore cannot route an agent through the controls that already exist for people.</w:t>
      </w:r>
    </w:p>
    <w:p>
      <w:pPr>
        <w:pStyle w:val="Heading2"/>
      </w:pPr>
      <w:r>
        <w:t>1.3 Paper Contribution</w:t>
      </w:r>
    </w:p>
    <w:p>
      <w:r>
        <w:t>The alignment tax is the recurring governance, compliance, and operational overhead of aligning AI agent identity, access control, and attestation with the IAM frameworks already in place. The tax breaks into five dimensions that IAM practitioners can measure, budget for, and work down. An agent identity control plane, together with recommendations drawn from real identity governance practice, shows how a platform such as SailPoint Identity Security Cloud can be extended to agentic workloads.</w:t>
      </w:r>
    </w:p>
    <w:p>
      <w:r>
        <w:t>The contributions are (1) a definition of the alignment tax as a recurring cost in five measurable dimensions, so the cost can be budgeted and worked down rather than absorbed as incident response; (2) a mapping of the standards and frameworks that bear on agent identity, stating what each one covers and what each one leaves to the IAM team; and (3) an agent identity control plane with five functions, an operating sequence, a worked scenario, and practitioner recommendations in dependency order for extending identity governance platforms to agentic workloads.</w:t>
      </w:r>
    </w:p>
    <w:p>
      <w:pPr>
        <w:pStyle w:val="Heading2"/>
      </w:pPr>
      <w:r>
        <w:t>1.4 Paper Structure</w:t>
      </w:r>
    </w:p>
    <w:p>
      <w:r>
        <w:t>The Introduction states the problem, the gap, and the contribution. Foundations and Related Work groups the existing standards and frameworks by what each one covers and what each one leaves undone. Problem Analysis shows how agents break the human-subject model, measures the gap, and defines the alignment tax in five dimensions. The framework section, The Agent Identity Control Plane, names the components, traces the operating sequence, and walks a worked scenario through the components. Discussion draws the practitioner recommendations in dependency order and states the limitations and the open challenges. The Conclusion closes with the lessons for IAM programs.</w:t>
      </w:r>
    </w:p>
    <w:p>
      <w:pPr>
        <w:pStyle w:val="Heading1"/>
      </w:pPr>
      <w:r>
        <w:t>2. Foundations and Related Work</w:t>
      </w:r>
    </w:p>
    <w:p>
      <w:r>
        <w:t>The cryptographic and protocol primitives mostly exist. No single framework covers the whole problem, so integration falls to the IAM team.</w:t>
      </w:r>
    </w:p>
    <w:p>
      <w:r>
        <w:t>The literature and the standards fall into three groups. Risk and governance frameworks state what has to be governed. Workload identity protocols state how a workload can prove what it is. Application-layer risk catalogs and vendor platforms show where the problem surfaces in products. Each group is incomplete on its own, and the seams between the groups are where IAM teams inherit the work.</w:t>
      </w:r>
    </w:p>
    <w:p>
      <w:pPr>
        <w:pStyle w:val="Heading2"/>
      </w:pPr>
      <w:r>
        <w:t>2.1 Risk and Governance Frameworks</w:t>
      </w:r>
    </w:p>
    <w:p>
      <w:r>
        <w:t>The NIST AI Risk Management Framework and its Generative AI Profile give enterprises a risk-management operating system: Govern, Map, Measure, and Manage functions, with risk categories and suggested actions for generative AI. The framework governs risk at the program level. It does not state how credentials for agents get issued, scoped, and retired, and that mechanism gap is precisely where agent identity work sits.</w:t>
      </w:r>
    </w:p>
    <w:p>
      <w:r>
        <w:t>Alongside the AI-specific frameworks stands NIST’s Security and Privacy Controls for Information Systems and Organizations [16], the established catalog of security and privacy control families, access control and audit among them, that enterprise programs already map internal controls onto. The catalog supplies control structure; agent-specific identity guidance is not its subject.</w:t>
      </w:r>
    </w:p>
    <w:p>
      <w:r>
        <w:t>The Govern function of the NIST AI RMF is the natural hook for agent identity governance. The CSA framework maps its controls to Govern and Manage explicitly [4], so an IAM team can present agent identity work as AI RMF implementation rather than as a side project.</w:t>
      </w:r>
    </w:p>
    <w:p>
      <w:r>
        <w:t>The ISO/IEC AI management system standard adds a certifiable governance layer, harmonized with established information security management practice, and the EU AI Act adds legal documentation and transparency duties on top. Both demand evidence about identity and authorization, and neither supplies the credential mechanics that produce such evidence.</w:t>
      </w:r>
    </w:p>
    <w:p>
      <w:r>
        <w:t>Table 1 summarizes, for each standard and framework, what it covers and what it leaves to the IAM team.</w:t>
      </w:r>
    </w:p>
    <w:p>
      <w:r>
        <w:rPr>
          <w:b/>
        </w:rPr>
        <w:t>Table 1. The standards landscape: coverage and residual IAM work.</w:t>
      </w:r>
    </w:p>
    <w:tbl>
      <w:tblPr>
        <w:tblStyle w:val="TableGrid"/>
        <w:tblW w:type="auto" w:w="0"/>
        <w:tblLook w:firstColumn="1" w:firstRow="1" w:lastColumn="0" w:lastRow="0" w:noHBand="0" w:noVBand="1" w:val="04A0"/>
      </w:tblPr>
      <w:tblGrid>
        <w:gridCol w:w="3120"/>
        <w:gridCol w:w="3120"/>
        <w:gridCol w:w="3120"/>
      </w:tblGrid>
      <w:tr>
        <w:tc>
          <w:tcPr>
            <w:tcW w:type="dxa" w:w="3120"/>
          </w:tcPr>
          <w:p>
            <w:r>
              <w:rPr>
                <w:b/>
              </w:rPr>
              <w:t>Standard / framework</w:t>
            </w:r>
          </w:p>
        </w:tc>
        <w:tc>
          <w:tcPr>
            <w:tcW w:type="dxa" w:w="3120"/>
          </w:tcPr>
          <w:p>
            <w:r>
              <w:rPr>
                <w:b/>
              </w:rPr>
              <w:t>What it covers</w:t>
            </w:r>
          </w:p>
        </w:tc>
        <w:tc>
          <w:tcPr>
            <w:tcW w:type="dxa" w:w="3120"/>
          </w:tcPr>
          <w:p>
            <w:r>
              <w:rPr>
                <w:b/>
              </w:rPr>
              <w:t>What it leaves to the IAM team</w:t>
            </w:r>
          </w:p>
        </w:tc>
      </w:tr>
      <w:tr>
        <w:tc>
          <w:tcPr>
            <w:tcW w:type="dxa" w:w="3120"/>
          </w:tcPr>
          <w:p>
            <w:r>
              <w:t>NIST AI RMF 1.0 + GenAI Profile (AI 600-1) [1][2]</w:t>
            </w:r>
          </w:p>
        </w:tc>
        <w:tc>
          <w:tcPr>
            <w:tcW w:type="dxa" w:w="3120"/>
          </w:tcPr>
          <w:p>
            <w:r>
              <w:t>Risk-management operating system (Govern/Map/Measure/Manage); 12 GenAI-specific risk categories with suggested actions.</w:t>
            </w:r>
          </w:p>
        </w:tc>
        <w:tc>
          <w:tcPr>
            <w:tcW w:type="dxa" w:w="3120"/>
          </w:tcPr>
          <w:p>
            <w:r>
              <w:t>No mechanism at all: how credentials for agents get issued, scoped, and retired is left open.</w:t>
            </w:r>
          </w:p>
        </w:tc>
      </w:tr>
      <w:tr>
        <w:tc>
          <w:tcPr>
            <w:tcW w:type="dxa" w:w="3120"/>
          </w:tcPr>
          <w:p>
            <w:r>
              <w:t>OWASP Top 10 for LLM Apps 2025 [3]; ASI03 [4]</w:t>
            </w:r>
          </w:p>
        </w:tc>
        <w:tc>
          <w:tcPr>
            <w:tcW w:type="dxa" w:w="3120"/>
          </w:tcPr>
          <w:p>
            <w:r>
              <w:t>Application-layer risks; LLM06 Excessive Agency and ASI03 Identity and Privilege Abuse name the IAM problem.</w:t>
            </w:r>
          </w:p>
        </w:tc>
        <w:tc>
          <w:tcPr>
            <w:tcW w:type="dxa" w:w="3120"/>
          </w:tcPr>
          <w:p>
            <w:r>
              <w:t>Enforcement inside the enterprise: turning application-layer guidance into identity controls.</w:t>
            </w:r>
          </w:p>
        </w:tc>
      </w:tr>
      <w:tr>
        <w:tc>
          <w:tcPr>
            <w:tcW w:type="dxa" w:w="3120"/>
          </w:tcPr>
          <w:p>
            <w:r>
              <w:t>NIST SP 800-63-4 [13]</w:t>
            </w:r>
          </w:p>
        </w:tc>
        <w:tc>
          <w:tcPr>
            <w:tcW w:type="dxa" w:w="3120"/>
          </w:tcPr>
          <w:p>
            <w:r>
              <w:t>Human digital identity: proofing, authentication, federation, assurance levels.</w:t>
            </w:r>
          </w:p>
        </w:tc>
        <w:tc>
          <w:tcPr>
            <w:tcW w:type="dxa" w:w="3120"/>
          </w:tcPr>
          <w:p>
            <w:r>
              <w:t>Anything agentic. There is no assurance model for non-human subjects.</w:t>
            </w:r>
          </w:p>
        </w:tc>
      </w:tr>
      <w:tr>
        <w:tc>
          <w:tcPr>
            <w:tcW w:type="dxa" w:w="3120"/>
          </w:tcPr>
          <w:p>
            <w:r>
              <w:t>ISO/IEC 42001:2023 [14]</w:t>
            </w:r>
          </w:p>
        </w:tc>
        <w:tc>
          <w:tcPr>
            <w:tcW w:type="dxa" w:w="3120"/>
          </w:tcPr>
          <w:p>
            <w:r>
              <w:t>A certifiable AI management system; risk-based governance harmonized with ISO 27001.</w:t>
            </w:r>
          </w:p>
        </w:tc>
        <w:tc>
          <w:tcPr>
            <w:tcW w:type="dxa" w:w="3120"/>
          </w:tcPr>
          <w:p>
            <w:r>
              <w:t>Credential mechanics and the implementation of the agent lifecycle.</w:t>
            </w:r>
          </w:p>
        </w:tc>
      </w:tr>
      <w:tr>
        <w:tc>
          <w:tcPr>
            <w:tcW w:type="dxa" w:w="3120"/>
          </w:tcPr>
          <w:p>
            <w:r>
              <w:t>EU AI Act GPAI duties [15]</w:t>
            </w:r>
          </w:p>
        </w:tc>
        <w:tc>
          <w:tcPr>
            <w:tcW w:type="dxa" w:w="3120"/>
          </w:tcPr>
          <w:p>
            <w:r>
              <w:t>Legal documentation, transparency, and incident-reporting duties (enforceable Aug 2026).</w:t>
            </w:r>
          </w:p>
        </w:tc>
        <w:tc>
          <w:tcPr>
            <w:tcW w:type="dxa" w:w="3120"/>
          </w:tcPr>
          <w:p>
            <w:r>
              <w:t>Producing the identity evidence underneath the duties.</w:t>
            </w:r>
          </w:p>
        </w:tc>
      </w:tr>
      <w:tr>
        <w:tc>
          <w:tcPr>
            <w:tcW w:type="dxa" w:w="3120"/>
          </w:tcPr>
          <w:p>
            <w:r>
              <w:t>SPIFFE/SPIRE [10]; IETF WIMSE [11]</w:t>
            </w:r>
          </w:p>
        </w:tc>
        <w:tc>
          <w:tcPr>
            <w:tcW w:type="dxa" w:w="3120"/>
          </w:tcPr>
          <w:p>
            <w:r>
              <w:t>Short-lived workload identities bound to attestation; federation across systems.</w:t>
            </w:r>
          </w:p>
        </w:tc>
        <w:tc>
          <w:tcPr>
            <w:tcW w:type="dxa" w:w="3120"/>
          </w:tcPr>
          <w:p>
            <w:r>
              <w:t>Authorization policy, ownership, and integration with audit.</w:t>
            </w:r>
          </w:p>
        </w:tc>
      </w:tr>
      <w:tr>
        <w:tc>
          <w:tcPr>
            <w:tcW w:type="dxa" w:w="3120"/>
          </w:tcPr>
          <w:p>
            <w:r>
              <w:t>MCP authorization [12]</w:t>
            </w:r>
          </w:p>
        </w:tc>
        <w:tc>
          <w:tcPr>
            <w:tcW w:type="dxa" w:w="3120"/>
          </w:tcPr>
          <w:p>
            <w:r>
              <w:t>OAuth 2.1 tool-call authorization (DCR, resource metadata, indicators).</w:t>
            </w:r>
          </w:p>
        </w:tc>
        <w:tc>
          <w:tcPr>
            <w:tcW w:type="dxa" w:w="3120"/>
          </w:tcPr>
          <w:p>
            <w:r>
              <w:t>Identity binding itself. MCP is not an identity protocol, and implementations are uneven.</w:t>
            </w:r>
          </w:p>
        </w:tc>
      </w:tr>
      <w:tr>
        <w:tc>
          <w:tcPr>
            <w:tcW w:type="dxa" w:w="3120"/>
          </w:tcPr>
          <w:p>
            <w:r>
              <w:t>CSA Agent Identity Governance Framework [4]</w:t>
            </w:r>
          </w:p>
        </w:tc>
        <w:tc>
          <w:tcPr>
            <w:tcW w:type="dxa" w:w="3120"/>
          </w:tcPr>
          <w:p>
            <w:r>
              <w:t>Agent taxonomy, a just-in-time access model, mappings to AICM, ASI03, MAESTRO, and AI RMF.</w:t>
            </w:r>
          </w:p>
        </w:tc>
        <w:tc>
          <w:tcPr>
            <w:tcW w:type="dxa" w:w="3120"/>
          </w:tcPr>
          <w:p>
            <w:r>
              <w:t>Implementation in products inside the enterprise IAM stack (still a draft).</w:t>
            </w:r>
          </w:p>
        </w:tc>
      </w:tr>
    </w:tbl>
    <w:p>
      <w:pPr>
        <w:pStyle w:val="Heading2"/>
      </w:pPr>
      <w:r>
        <w:t>2.2 Workload Identity Protocols and Authorization</w:t>
      </w:r>
    </w:p>
    <w:p>
      <w:r>
        <w:t>The strongest technical answer to the authentication half of the problem already exists: SPIFFE/SPIRE, a CNCF-graduated standard in which workloads receive short-lived SVIDs only after platform attestation and never hold a long-lived secret [10].</w:t>
      </w:r>
    </w:p>
    <w:p>
      <w:r>
        <w:t>The IETF WIMSE work carries the same attestation idea across systems and trust domains. MCP authorization operates one layer up: it governs tool-call authorization through OAuth, with dynamic client registration and resource metadata, and leaves identity binding itself to other mechanisms. Implementations remain uneven across clients, a point the access-modeling and credential discussions return to in Problem Analysis.</w:t>
      </w:r>
    </w:p>
    <w:p>
      <w:pPr>
        <w:pStyle w:val="Heading2"/>
      </w:pPr>
      <w:r>
        <w:t>2.3 Application-Layer Risk and Market Signals</w:t>
      </w:r>
    </w:p>
    <w:p>
      <w:r>
        <w:t>Application-layer guidance names the identity problem from the application side. The OWASP catalog for LLM applications and the CSA taxonomy work on agent identity and privilege abuse both treat excessive agency and privilege abuse as identity failures, not only as model failures. Naming the problem at the application layer does not enforce a control inside the enterprise; enforcement remains IAM work.</w:t>
      </w:r>
    </w:p>
    <w:p>
      <w:r>
        <w:t>The market has confirmed the gap is real. In May 2026 SailPoint launched Agentic Fabric, unified identity security for human, machine, and AI agent identities, with discovery, governance, authorization, and protection in one platform [7]. In June 2026 it moved to acquire Entro’s non-human identity discovery technology [9]. When a vendor of SailPoint’s size treats agent identity as a product category rather than a feature request, the gap is no longer a matter of opinion.</w:t>
      </w:r>
    </w:p>
    <w:p>
      <w:r>
        <w:t>The pattern holds across the whole table. Risk frameworks describe what has to be governed. Protocols describe how workloads can authenticate. Nothing describes how an enterprise IAM team governs a population of autonomous agents across both. That integration work is the alignment tax, itemized: the mapping, the ownership, the lifecycle, the evidence.</w:t>
      </w:r>
    </w:p>
    <w:p>
      <w:r>
        <w:t>Read together, the literature establishes the risk framing, the workload authentication primitives, and the application-layer risk names. The literature stops before the enterprise integration question: how an IAM team governs a population of autonomous agents, with owners, lifecycles, and evidence, on the platforms already in place. That stopping point is the gap the alignment tax names and the control plane answers.</w:t>
      </w:r>
    </w:p>
    <w:p>
      <w:pPr>
        <w:pStyle w:val="Heading1"/>
      </w:pPr>
      <w:r>
        <w:t>3. Problem Analysis</w:t>
      </w:r>
    </w:p>
    <w:p>
      <w:r>
        <w:t>Current practice fails for a structural reason: the IAM estate was designed around a human subject, and the agent violates the design assumptions one by one. The failure is measurable in the current estate, it is visible to regulators, and it has a recurring price.</w:t>
      </w:r>
    </w:p>
    <w:p>
      <w:pPr>
        <w:pStyle w:val="Heading2"/>
      </w:pPr>
      <w:r>
        <w:t>3.1 IAM Was Built for Human Subjects</w:t>
      </w:r>
    </w:p>
    <w:p>
      <w:r>
        <w:t>Enterprise identity management grew up around one architectural assumption: the primary subject of access control is a human being. Directory schemas model people. SAML assertions and OAuth flows were designed for a person authenticating interactively. Role-based access control (RBAC) assumes permissions can be defined in advance for job functions that stay stable. A certification campaign assumes a manager can look at an employee’s entitlements and judge whether they still make sense. Joiner-mover-leaver (JML) processes assume lifecycle events (hire, transfer, termination) arrive as discrete, human-scale events from an authoritative source such as HR.</w:t>
      </w:r>
    </w:p>
    <w:p>
      <w:r>
        <w:t>Service accounts bent this model without breaking it. Everyone understood them as exceptions: non-human credentials attached to known software, acting for an identifiable human owner. In practice the ownership was often fictional. Service accounts collected standing privileges, outlived the people who owned them, and became the dark matter of the identity estate. But at least the model pretended to hold.</w:t>
      </w:r>
    </w:p>
    <w:p>
      <w:pPr>
        <w:pStyle w:val="Heading2"/>
      </w:pPr>
      <w:r>
        <w:t>3.2 How Agents Break the Human Model</w:t>
      </w:r>
    </w:p>
    <w:p>
      <w:r>
        <w:t>The Cloud Security Alliance’s Agent Identity Governance Framework (AIGF), published as a draft white paper in March 2026, states the break plainly: AI agents “authenticate programmatically, execute instructions at machine speed, operate across trust boundaries that span organizational perimeters, spawn child agents dynamically, and persist long after the business context that originally justified their privileges has changed” [4]. Each clause in that sentence names a specific IAM failure mode:</w:t>
      </w:r>
    </w:p>
    <w:p>
      <w:r>
        <w:t>Programmatic authentication defeats interactive controls. There is no login ceremony to step up, no MFA prompt to present, no session sitting open for a user to review.</w:t>
      </w:r>
    </w:p>
    <w:p>
      <w:r>
        <w:t>Machine-speed execution defeats human approval workflows. An agent that calls forty tools in ninety seconds cannot wait in a ticket queue.</w:t>
      </w:r>
    </w:p>
    <w:p>
      <w:r>
        <w:t>Dynamic child-agent spawning defeats provisioning processes. When an orchestrator spins up five short-lived sub-agents for parallel research, every one of them needs an identity, credentials, and a scope, created and destroyed in minutes rather than days.</w:t>
      </w:r>
    </w:p>
    <w:p>
      <w:r>
        <w:t>Persistence beyond business context defeats deprovisioning. Nothing in the agent’s lifecycle announces that its purpose has expired.</w:t>
      </w:r>
    </w:p>
    <w:p>
      <w:pPr>
        <w:pStyle w:val="Heading2"/>
      </w:pPr>
      <w:r>
        <w:t>3.3 The Scale of the Gap</w:t>
      </w:r>
    </w:p>
    <w:p>
      <w:r>
        <w:t>The numbers, compiled in the CSA framework from 2025–2026 industry research, are stark [4]:</w:t>
      </w:r>
    </w:p>
    <w:p>
      <w:r>
        <w:t>Non-human identities (NHIs), including AI agents, service accounts, API keys, OAuth tokens, and workload identities, outnumber human identities by more than 90 to 1 in many organizations, with some enterprises reporting ratios as high as 144 to 1. NHIs grew 44% from 2024 to 2025 alone.</w:t>
      </w:r>
    </w:p>
    <w:p>
      <w:r>
        <w:t>92% of surveyed security professionals say their legacy IAM solutions cannot effectively manage AI and NHI risks.</w:t>
      </w:r>
    </w:p>
    <w:p>
      <w:r>
        <w:t>78% of organizations have no formally documented policies for creating or removing AI agent identities.</w:t>
      </w:r>
    </w:p>
    <w:p>
      <w:r>
        <w:t>Only 28% can trace AI agent actions back to a human sponsor across all environments.</w:t>
      </w:r>
    </w:p>
    <w:p>
      <w:r>
        <w:t>51% report no clear ownership or accountability for their AI and NHI populations.</w:t>
      </w:r>
    </w:p>
    <w:p>
      <w:r>
        <w:t>44% rely on static API keys as the primary credential mechanism for NHIs.</w:t>
      </w:r>
    </w:p>
    <w:p>
      <w:r>
        <w:t>The incident data says the risk is not theoretical. Oasis Security’s research, as compiled by CSA, found that nearly 50% of organizations had experienced NHI-related compromises, and that attacks succeeded in 66% of those cases. The Non-Human Identity Management Group’s 2025 report documented that 73% of secrets held by NHIs carry excessive permissions, and that 1 in 20 AWS machine identities holds full administrative privileges [4].</w:t>
      </w:r>
    </w:p>
    <w:p>
      <w:pPr>
        <w:pStyle w:val="Heading2"/>
      </w:pPr>
      <w:r>
        <w:t>3.4 Regulatory Pressure</w:t>
      </w:r>
    </w:p>
    <w:p>
      <w:r>
        <w:t>Regulators have started closing the gap between what policy intends and what agents actually do. The CSA framework notes that NIST issued a Request for Information on AI Agent Security in early 2026, alongside a concept paper on AI Agent Identity and Authorization [4]. In the EU, obligations for providers of general-purpose AI models under the AI Act began applying on August 2, 2025. They cover technical documentation, duties to pass information downstream, copyright policies, and training-data summaries. The Commission’s enforcement powers become exercisable on August 2, 2026 [15]. The window for voluntary, proactive governance is narrowing.</w:t>
      </w:r>
    </w:p>
    <w:p>
      <w:pPr>
        <w:pStyle w:val="Heading2"/>
      </w:pPr>
      <w:r>
        <w:t>3.5 The Alignment Tax and Its Five Dimensions</w:t>
      </w:r>
    </w:p>
    <w:p>
      <w:r>
        <w:t>The alignment tax is the recurring governance, compliance, and operational overhead an organization takes on when AI agent identities have to be reconciled with IAM frameworks designed for human subjects. It is a tax, not a one-time cost, because it compounds. Every new agent adds to it. So does every new tool integration and every new framework obligation. IAM teams pay it in hours. Auditors pay it in findings. Business units pay it in delayed deployments. And when nobody pays it, it gets collected in incidents. The tax breaks into five dimensions that can be measured.</w:t>
      </w:r>
    </w:p>
    <w:p>
      <w:r>
        <w:t>Table 2 itemizes the five dimensions, what breaks in each, and the recurring cost each one imposes.</w:t>
      </w:r>
    </w:p>
    <w:p>
      <w:r>
        <w:rPr>
          <w:b/>
        </w:rPr>
        <w:t>Table 2. The five dimensions of the alignment tax.</w:t>
      </w:r>
    </w:p>
    <w:tbl>
      <w:tblPr>
        <w:tblStyle w:val="TableGrid"/>
        <w:tblW w:type="auto" w:w="0"/>
        <w:tblLook w:firstColumn="1" w:firstRow="1" w:lastColumn="0" w:lastRow="0" w:noHBand="0" w:noVBand="1" w:val="04A0"/>
      </w:tblPr>
      <w:tblGrid>
        <w:gridCol w:w="3120"/>
        <w:gridCol w:w="3120"/>
        <w:gridCol w:w="3120"/>
      </w:tblGrid>
      <w:tr>
        <w:tc>
          <w:tcPr>
            <w:tcW w:type="dxa" w:w="3120"/>
          </w:tcPr>
          <w:p>
            <w:r>
              <w:rPr>
                <w:b/>
              </w:rPr>
              <w:t>Dimension</w:t>
            </w:r>
          </w:p>
        </w:tc>
        <w:tc>
          <w:tcPr>
            <w:tcW w:type="dxa" w:w="3120"/>
          </w:tcPr>
          <w:p>
            <w:r>
              <w:rPr>
                <w:b/>
              </w:rPr>
              <w:t>What breaks</w:t>
            </w:r>
          </w:p>
        </w:tc>
        <w:tc>
          <w:tcPr>
            <w:tcW w:type="dxa" w:w="3120"/>
          </w:tcPr>
          <w:p>
            <w:r>
              <w:rPr>
                <w:b/>
              </w:rPr>
              <w:t>The recurring cost</w:t>
            </w:r>
          </w:p>
        </w:tc>
      </w:tr>
      <w:tr>
        <w:tc>
          <w:tcPr>
            <w:tcW w:type="dxa" w:w="3120"/>
          </w:tcPr>
          <w:p>
            <w:r>
              <w:t>1. Lifecycle tax</w:t>
            </w:r>
          </w:p>
        </w:tc>
        <w:tc>
          <w:tcPr>
            <w:tcW w:type="dxa" w:w="3120"/>
          </w:tcPr>
          <w:p>
            <w:r>
              <w:t>No HR-like authoritative source for an agent’s birth or death; sub-agents spawn and die in minutes.</w:t>
            </w:r>
          </w:p>
        </w:tc>
        <w:tc>
          <w:tcPr>
            <w:tcW w:type="dxa" w:w="3120"/>
          </w:tcPr>
          <w:p>
            <w:r>
              <w:t>Build and run a lifecycle authority for agents: registration at spawn, automated deprovisioning at task completion, revalidation of whatever survives.</w:t>
            </w:r>
          </w:p>
        </w:tc>
      </w:tr>
      <w:tr>
        <w:tc>
          <w:tcPr>
            <w:tcW w:type="dxa" w:w="3120"/>
          </w:tcPr>
          <w:p>
            <w:r>
              <w:t>2. Access-modeling tax</w:t>
            </w:r>
          </w:p>
        </w:tc>
        <w:tc>
          <w:tcPr>
            <w:tcW w:type="dxa" w:w="3120"/>
          </w:tcPr>
          <w:p>
            <w:r>
              <w:t>RBAC and ABAC assume permissions can be known in advance; agents pick tools dynamically and delegate down chains.</w:t>
            </w:r>
          </w:p>
        </w:tc>
        <w:tc>
          <w:tcPr>
            <w:tcW w:type="dxa" w:w="3120"/>
          </w:tcPr>
          <w:p>
            <w:r>
              <w:t>Keep re-modeling what an agent identity can do, as its capabilities and delegation chains change at runtime.</w:t>
            </w:r>
          </w:p>
        </w:tc>
      </w:tr>
      <w:tr>
        <w:tc>
          <w:tcPr>
            <w:tcW w:type="dxa" w:w="3120"/>
          </w:tcPr>
          <w:p>
            <w:r>
              <w:t>3. Attestation tax</w:t>
            </w:r>
          </w:p>
        </w:tc>
        <w:tc>
          <w:tcPr>
            <w:tcW w:type="dxa" w:w="3120"/>
          </w:tcPr>
          <w:p>
            <w:r>
              <w:t>Certification campaigns assume a reviewer who knows the identity and its entitlements; 51% of organizations lack NHI ownership.</w:t>
            </w:r>
          </w:p>
        </w:tc>
        <w:tc>
          <w:tcPr>
            <w:tcW w:type="dxa" w:w="3120"/>
          </w:tcPr>
          <w:p>
            <w:r>
              <w:t>Redesign attestation for non-humans: attributed ownership, entitlements a machine can read, review driven by telemetry.</w:t>
            </w:r>
          </w:p>
        </w:tc>
      </w:tr>
      <w:tr>
        <w:tc>
          <w:tcPr>
            <w:tcW w:type="dxa" w:w="3120"/>
          </w:tcPr>
          <w:p>
            <w:r>
              <w:t>4. Credential tax</w:t>
            </w:r>
          </w:p>
        </w:tc>
        <w:tc>
          <w:tcPr>
            <w:tcW w:type="dxa" w:w="3120"/>
          </w:tcPr>
          <w:p>
            <w:r>
              <w:t>44% of organizations rely on static API keys; agents carry keys across tool calls with no human watching.</w:t>
            </w:r>
          </w:p>
        </w:tc>
        <w:tc>
          <w:tcPr>
            <w:tcW w:type="dxa" w:w="3120"/>
          </w:tcPr>
          <w:p>
            <w:r>
              <w:t>Clean up secrets sprawl, then bind every agent-to-tool interaction to short-lived, auto-rotated credentials.</w:t>
            </w:r>
          </w:p>
        </w:tc>
      </w:tr>
      <w:tr>
        <w:tc>
          <w:tcPr>
            <w:tcW w:type="dxa" w:w="3120"/>
          </w:tcPr>
          <w:p>
            <w:r>
              <w:t>5. Evidence tax</w:t>
            </w:r>
          </w:p>
        </w:tc>
        <w:tc>
          <w:tcPr>
            <w:tcW w:type="dxa" w:w="3120"/>
          </w:tcPr>
          <w:p>
            <w:r>
              <w:t>Frameworks demand proof of who authorized an agent, what it could touch, and what it did; IAM never instrumented any of that for non-humans.</w:t>
            </w:r>
          </w:p>
        </w:tc>
        <w:tc>
          <w:tcPr>
            <w:tcW w:type="dxa" w:w="3120"/>
          </w:tcPr>
          <w:p>
            <w:r>
              <w:t>Identity-aware logging, attribution chains back to a human sponsor, control mappings maintained across frameworks.</w:t>
            </w:r>
          </w:p>
        </w:tc>
      </w:tr>
    </w:tbl>
    <w:p>
      <w:pPr>
        <w:pStyle w:val="Heading2"/>
      </w:pPr>
      <w:r>
        <w:t>3.6 The Lifecycle Tax</w:t>
      </w:r>
    </w:p>
    <w:p>
      <w:r>
        <w:t>JML works for people because their lifecycle events are discrete and authoritative. HR says someone was hired. HR says someone left. Agents have no HR system. An orchestrator can create dozens of sub-agent identities in an hour. Each one needs to be created, issued credentials, given a scope, monitored, and, critically, terminated. Without an authoritative source for the agent lifecycle, these identities pile up: orphaned, over-privileged, invisible. The lifecycle tax is the engineering and process work of building a lifecycle authority for entities that were never supposed to need one: registration at spawn, automated deprovisioning when the task completes, and periodic revalidation of everything in between. When the CSA framework finds that 78% of organizations lack documented policies for creating or removing AI agent identities [4], it is measuring how much of this tax is going unpaid.</w:t>
      </w:r>
    </w:p>
    <w:p>
      <w:pPr>
        <w:pStyle w:val="Heading2"/>
      </w:pPr>
      <w:r>
        <w:t>3.7 The Access-Modeling Tax</w:t>
      </w:r>
    </w:p>
    <w:p>
      <w:r>
        <w:t>RBAC assumes permissions can be known in advance and stay stable over time. ABAC does better, because it evaluates attributes at decision time, but real enterprise ABAC deployments are still rare and hard to run. Agents break both assumptions. They choose tools as they reason, in ways the IAM team cannot enumerate beforehand, and they delegate authority down chains (orchestrator to sub-agent to tool to downstream API) that no static role definition captures. The Model Context Protocol (MCP) speeds this up: every new MCP server an agent can reach is a new permission frontier, and MCP’s authorization story, OAuth 2.1 with dynamic client registration, is still implemented unevenly across clients [12]. The access-modeling tax is the cost of re-modeling “what can this identity do,” again and again, for subjects whose capabilities change while they run.</w:t>
      </w:r>
    </w:p>
    <w:p>
      <w:pPr>
        <w:pStyle w:val="Heading2"/>
      </w:pPr>
      <w:r>
        <w:t>3.8 The Attestation Tax</w:t>
      </w:r>
    </w:p>
    <w:p>
      <w:r>
        <w:t>Access certification is the backbone of identity governance: the periodic review in which managers attest that their reports’ entitlements are still appropriate. It is a staple of SOX, SOC 2, and ISO 27001 audits, and it rests on one assumption, that the reviewer understands both the identity and its entitlements. Point it at agents and the model collapses. Who certifies an agent’s 400 API scopes? The 51% of organizations with no clear NHI ownership [4] cannot even route the campaign to the right person, and with traceability at 28%, most reviewers would be attesting blind. The attestation tax is the work of redesigning certification for non-human subjects: attributing ownership, giving entitlements machine-readable semantics, and driving review from anomalies instead of asking managers to rubber-stamp.</w:t>
      </w:r>
    </w:p>
    <w:p>
      <w:pPr>
        <w:pStyle w:val="Heading2"/>
      </w:pPr>
      <w:r>
        <w:t>3.9 The Credential Tax</w:t>
      </w:r>
    </w:p>
    <w:p>
      <w:r>
        <w:t>A static API key is the worst credential an agent can hold. The agent can carry that key across tool calls, spawning chains, and retrieved content, all without a human seeing it happen. Yet 44% of organizations rely on static keys as the primary NHI credential [4]. Short-lived, automatically rotated credentials are the technical answer, but getting there means digging keys out of prompts, configs, and scripts across the estate, and that is slow operational work. MCP’s OAuth-based authorization does not close the gap either. As one analysis puts it, it is not an identity protocol at all: “MCP defines a protocol for interaction between clients and servers. Authentication and authorization is a separate concern” [12]. The credential tax is that cleanup, plus the integration work of binding every agent-to-tool interaction to a credential with a bounded lifetime.</w:t>
      </w:r>
    </w:p>
    <w:p>
      <w:pPr>
        <w:pStyle w:val="Heading2"/>
      </w:pPr>
      <w:r>
        <w:t>3.10 The Evidence Tax</w:t>
      </w:r>
    </w:p>
    <w:p>
      <w:r>
        <w:t>Every governance framework now aimed at AI asks for evidence the IAM estate was never instrumented to produce for non-humans. Which identity authorized this agent? What could it touch? What did it actually do? Who answers for it? The Govern and Manage functions of the NIST AI RMF, the auditability requirements of ISO/IEC 42001, and the documentation duties of the EU AI Act all land on the same question. “The service account did it” is not an answer an auditor accepts. The evidence tax is the instrumentation that makes the answer possible: identity-aware logging of agent actions, attribution chains that run from a sub-agent back to a human sponsor, and control mappings kept current across frameworks.</w:t>
      </w:r>
    </w:p>
    <w:p>
      <w:pPr>
        <w:pStyle w:val="Heading1"/>
      </w:pPr>
      <w:r>
        <w:t>4. The Agent Identity Control Plane</w:t>
      </w:r>
    </w:p>
    <w:p>
      <w:r>
        <w:t>Architecture pays the tax once, on purpose. Repeated heroics pay it indefinitely. An agent identity control plane with five functions provides the architecture. Each function maps to an IAM concept practitioners already operate:</w:t>
      </w:r>
    </w:p>
    <w:p>
      <w:r>
        <w:t>Table 3 summarizes the five functions, the IAM analogue for each, and the mechanism each function uses.</w:t>
      </w:r>
    </w:p>
    <w:p>
      <w:r>
        <w:rPr>
          <w:b/>
        </w:rPr>
        <w:t>Table 3. The agent identity control plane.</w:t>
      </w:r>
    </w:p>
    <w:tbl>
      <w:tblPr>
        <w:tblStyle w:val="TableGrid"/>
        <w:tblW w:type="auto" w:w="0"/>
        <w:tblLook w:firstColumn="1" w:firstRow="1" w:lastColumn="0" w:lastRow="0" w:noHBand="0" w:noVBand="1" w:val="04A0"/>
      </w:tblPr>
      <w:tblGrid>
        <w:gridCol w:w="3120"/>
        <w:gridCol w:w="3120"/>
        <w:gridCol w:w="3120"/>
      </w:tblGrid>
      <w:tr>
        <w:tc>
          <w:tcPr>
            <w:tcW w:type="dxa" w:w="3120"/>
          </w:tcPr>
          <w:p>
            <w:r>
              <w:rPr>
                <w:b/>
              </w:rPr>
              <w:t>Function</w:t>
            </w:r>
          </w:p>
        </w:tc>
        <w:tc>
          <w:tcPr>
            <w:tcW w:type="dxa" w:w="3120"/>
          </w:tcPr>
          <w:p>
            <w:r>
              <w:rPr>
                <w:b/>
              </w:rPr>
              <w:t>IAM analogue</w:t>
            </w:r>
          </w:p>
        </w:tc>
        <w:tc>
          <w:tcPr>
            <w:tcW w:type="dxa" w:w="3120"/>
          </w:tcPr>
          <w:p>
            <w:r>
              <w:rPr>
                <w:b/>
              </w:rPr>
              <w:t>Mechanism</w:t>
            </w:r>
          </w:p>
        </w:tc>
      </w:tr>
      <w:tr>
        <w:tc>
          <w:tcPr>
            <w:tcW w:type="dxa" w:w="3120"/>
          </w:tcPr>
          <w:p>
            <w:r>
              <w:t>1. Register</w:t>
            </w:r>
          </w:p>
        </w:tc>
        <w:tc>
          <w:tcPr>
            <w:tcW w:type="dxa" w:w="3120"/>
          </w:tcPr>
          <w:p>
            <w:r>
              <w:t>Identity creation / HR feed</w:t>
            </w:r>
          </w:p>
        </w:tc>
        <w:tc>
          <w:tcPr>
            <w:tcW w:type="dxa" w:w="3120"/>
          </w:tcPr>
          <w:p>
            <w:r>
              <w:t>Every agent identity enters the inventory at creation, with a type, a human sponsor, and a declared purpose. No registration, no credentials.</w:t>
            </w:r>
          </w:p>
        </w:tc>
      </w:tr>
      <w:tr>
        <w:tc>
          <w:tcPr>
            <w:tcW w:type="dxa" w:w="3120"/>
          </w:tcPr>
          <w:p>
            <w:r>
              <w:t>2. Authenticate</w:t>
            </w:r>
          </w:p>
        </w:tc>
        <w:tc>
          <w:tcPr>
            <w:tcW w:type="dxa" w:w="3120"/>
          </w:tcPr>
          <w:p>
            <w:r>
              <w:t>Authentication authority</w:t>
            </w:r>
          </w:p>
        </w:tc>
        <w:tc>
          <w:tcPr>
            <w:tcW w:type="dxa" w:w="3120"/>
          </w:tcPr>
          <w:p>
            <w:r>
              <w:t>Short-lived credentials bound to attestation: SPIFFE SVIDs for workloads, scoped OAuth tokens for tool calls. Static API keys, never.</w:t>
            </w:r>
          </w:p>
        </w:tc>
      </w:tr>
      <w:tr>
        <w:tc>
          <w:tcPr>
            <w:tcW w:type="dxa" w:w="3120"/>
          </w:tcPr>
          <w:p>
            <w:r>
              <w:t>3. Authorize</w:t>
            </w:r>
          </w:p>
        </w:tc>
        <w:tc>
          <w:tcPr>
            <w:tcW w:type="dxa" w:w="3120"/>
          </w:tcPr>
          <w:p>
            <w:r>
              <w:t>Privileged access management</w:t>
            </w:r>
          </w:p>
        </w:tc>
        <w:tc>
          <w:tcPr>
            <w:tcW w:type="dxa" w:w="3120"/>
          </w:tcPr>
          <w:p>
            <w:r>
              <w:t>Just-in-time grants, intent declared and scope limited; bounded, expiring capability in place of standing privilege.</w:t>
            </w:r>
          </w:p>
        </w:tc>
      </w:tr>
      <w:tr>
        <w:tc>
          <w:tcPr>
            <w:tcW w:type="dxa" w:w="3120"/>
          </w:tcPr>
          <w:p>
            <w:r>
              <w:t>4. Audit</w:t>
            </w:r>
          </w:p>
        </w:tc>
        <w:tc>
          <w:tcPr>
            <w:tcW w:type="dxa" w:w="3120"/>
          </w:tcPr>
          <w:p>
            <w:r>
              <w:t>Certification + SIEM</w:t>
            </w:r>
          </w:p>
        </w:tc>
        <w:tc>
          <w:tcPr>
            <w:tcW w:type="dxa" w:w="3120"/>
          </w:tcPr>
          <w:p>
            <w:r>
              <w:t>Every action logged against the identity, the delegation chain, and the human sponsor. That log is the attribution evidence the frameworks demand.</w:t>
            </w:r>
          </w:p>
        </w:tc>
      </w:tr>
      <w:tr>
        <w:tc>
          <w:tcPr>
            <w:tcW w:type="dxa" w:w="3120"/>
          </w:tcPr>
          <w:p>
            <w:r>
              <w:t>5. Retire</w:t>
            </w:r>
          </w:p>
        </w:tc>
        <w:tc>
          <w:tcPr>
            <w:tcW w:type="dxa" w:w="3120"/>
          </w:tcPr>
          <w:p>
            <w:r>
              <w:t>Deprovisioning</w:t>
            </w:r>
          </w:p>
        </w:tc>
        <w:tc>
          <w:tcPr>
            <w:tcW w:type="dxa" w:w="3120"/>
          </w:tcPr>
          <w:p>
            <w:r>
              <w:t>When the purpose expires, credentials are revoked and the inventory is updated. Deprovisioning happens at machine speed, not as a quarterly cleanup.</w:t>
            </w:r>
          </w:p>
        </w:tc>
      </w:tr>
    </w:tbl>
    <w:p>
      <w:pPr>
        <w:pStyle w:val="Heading2"/>
      </w:pPr>
      <w:r>
        <w:t>4.1 Control Plane Components</w:t>
      </w:r>
    </w:p>
    <w:p>
      <w:r>
        <w:rPr>
          <w:b/>
        </w:rPr>
        <w:t>Register.</w:t>
      </w:r>
      <w:r>
        <w:t xml:space="preserve"> Every agent identity enters the inventory at creation. Registration records the agent type, a named human sponsor, and a declared purpose, and registration is the gate for credential issuance: an unregistered agent receives no credentials. The IAM analogue is identity creation from an authoritative feed, with the orchestrator or deployment pipeline acting as the feed.</w:t>
      </w:r>
    </w:p>
    <w:p>
      <w:r>
        <w:rPr>
          <w:b/>
        </w:rPr>
        <w:t>Authenticate.</w:t>
      </w:r>
      <w:r>
        <w:t xml:space="preserve"> The registered agent proves its identity with short-lived credentials bound to attestation. Workload identities rest on platform attestation and expire quickly; tool calls carry scoped tokens with tight audiences and short expirations. Static keys have no place in the agent path.</w:t>
      </w:r>
    </w:p>
    <w:p>
      <w:r>
        <w:rPr>
          <w:b/>
        </w:rPr>
        <w:t>Authorize.</w:t>
      </w:r>
      <w:r>
        <w:t xml:space="preserve"> Access is granted just in time, against declared intent, limited in scope, and bounded in duration. Standing privilege is replaced by expiring capability, and the grant follows the delegation chain rather than a static role assignment.</w:t>
      </w:r>
    </w:p>
    <w:p>
      <w:r>
        <w:rPr>
          <w:b/>
        </w:rPr>
        <w:t>Audit.</w:t>
      </w:r>
      <w:r>
        <w:t xml:space="preserve"> Every action is logged against the agent identity, the full delegation chain, and the human sponsor. The log is not an operational extra; the log is the attribution evidence that governance frameworks demand and that attestation review consumes.</w:t>
      </w:r>
    </w:p>
    <w:p>
      <w:r>
        <w:rPr>
          <w:b/>
        </w:rPr>
        <w:t>Retire.</w:t>
      </w:r>
      <w:r>
        <w:t xml:space="preserve"> When the declared purpose expires or the task completes, credentials are revoked and the inventory entry is closed. Retirement runs at machine speed as part of the lifecycle, rather than surfacing later as an orphaned identity in a quarterly cleanup.</w:t>
      </w:r>
    </w:p>
    <w:p>
      <w:pPr>
        <w:pStyle w:val="Heading2"/>
      </w:pPr>
      <w:r>
        <w:t>4.2 Operating Sequence</w:t>
      </w:r>
    </w:p>
    <w:p>
      <w:r>
        <w:t>The five functions act in a fixed order for every agent. An orchestrator or deployment pipeline registers the agent at spawn and records sponsor and purpose. The agent authenticates with attestation-bound credentials before its first tool call. Authorization grants the bounded scope the declared intent requires, and high-risk actions wait for step-up human approval. Audit runs continuously while the agent works, capturing each action with its delegation chain. At task completion or purpose expiry, retirement revokes credentials and closes the inventory entry. Audit output feeds the next cycle: exercised permissions are compared with declared intent, drift is flagged for attestation, and unused scope is withdrawn, so each pass through the sequence tightens the grants the next pass issues.</w:t>
      </w:r>
    </w:p>
    <w:p>
      <w:pPr>
        <w:pStyle w:val="Heading2"/>
      </w:pPr>
      <w:r>
        <w:t>4.3 Worked Scenario: A Research Orchestrator and Its Sub-Agents</w:t>
      </w:r>
    </w:p>
    <w:p>
      <w:r>
        <w:t>A worked pass through the control plane uses the research orchestrator case stated in Problem Analysis: an orchestrator spawns five short-lived sub-agents for parallel research, and each sub-agent calls tools as it reasons, forty tool calls in ninety seconds across the group. Registration comes first: the orchestrator registers each sub-agent at spawn with the orchestrator’s sponsor as the accountable human, the research task as the declared purpose, and a lifetime bounded by the task. Authentication follows: each sub-agent receives a short-lived, attestation-bound credential, and no static key enters any prompt or configuration. Authorization grants each sub-agent only the tool scopes the research task requires, issued just in time and expiring with the task; a sub-agent that reaches for a payment path or a production change stops at step-up approval. Audit logs every tool call against the sub-agent identity and the chain back through the orchestrator to the sponsor, so a later reviewer can reconstruct which agent touched which resource and on whose authority. Retirement closes the pass: when the research task completes, the sub-agent credentials are revoked and the inventory entries are closed in the same motion, leaving no orphaned identities behind. The scenario is ordinary, and that is the point: nothing in the sequence needs a human in the loop for routine work, and every step leaves the evidence that governance later asks for.</w:t>
      </w:r>
    </w:p>
    <w:p>
      <w:r>
        <w:t>The control plane uses IAM terms by design: extension, not replacement, is the goal. An enterprise that already runs mature identity governance is closer to governing agents than it probably thinks, as long as it treats agents as first-class identity subjects instead of leaving them as a side project owned by the AI team.</w:t>
      </w:r>
    </w:p>
    <w:p>
      <w:pPr>
        <w:pStyle w:val="Heading1"/>
      </w:pPr>
      <w:r>
        <w:t>5. Discussion</w:t>
      </w:r>
    </w:p>
    <w:p>
      <w:r>
        <w:t>The analysis carries direct consequences for IAM programs. The control plane states the target architecture; the recommendations state the order in which a program can realistically reach that architecture, starting from the unmanaged estate most organizations actually hold.</w:t>
      </w:r>
    </w:p>
    <w:p>
      <w:pPr>
        <w:pStyle w:val="Heading2"/>
      </w:pPr>
      <w:r>
        <w:t>5.1 Implications for Practice</w:t>
      </w:r>
    </w:p>
    <w:p>
      <w:r>
        <w:t>Dependency orders the recommendations. Each builds on the one before it, and the first two alone remove the largest share of unmanaged risk.</w:t>
      </w:r>
    </w:p>
    <w:p>
      <w:pPr>
        <w:pStyle w:val="Heading2"/>
      </w:pPr>
      <w:r>
        <w:t>5.2 Start With Discovery, Not Policy</w:t>
      </w:r>
    </w:p>
    <w:p>
      <w:r>
        <w:t>What cannot be seen cannot be governed. SailPoint’s president said the same thing at the Agentic Fabric launch: “you cannot secure what you cannot see, or what you cannot tie back to accountability” [7]. Governance therefore starts with agentless discovery across cloud, CI/CD, SaaS, and endpoints, and with an inventory of agent identities and the credentials they hold, not with agent policy. SailPoint’s acquisition of Entro, which brought discovery across more than 1,000 non-human identity and agent types and 1,200 credential types [9], shows that discovery is now a product category, not a script someone maintains on the side. That first inventory is the baseline. Every later governance claim gets measured against it.</w:t>
      </w:r>
    </w:p>
    <w:p>
      <w:pPr>
        <w:pStyle w:val="Heading2"/>
      </w:pPr>
      <w:r>
        <w:t>5.3 Mandate a Human Sponsor for Every Agent Identity</w:t>
      </w:r>
    </w:p>
    <w:p>
      <w:r>
        <w:t>The 28% traceability figure [4] is the most damning number in the CSA data. An agent with no accountable human behind it is an ungovernable identity. Sponsorship belongs as a required attribute in the identity governance platform. SailPoint’s Agentic Fabric ships automated ownership policies for exactly this reason [8]. Sponsor-less agents warrant the same handling as orphaned accounts: quarantine first, then removal.</w:t>
      </w:r>
    </w:p>
    <w:p>
      <w:pPr>
        <w:pStyle w:val="Heading2"/>
      </w:pPr>
      <w:r>
        <w:t>5.4 Agents Belong in the IGA as First-Class Identities</w:t>
      </w:r>
    </w:p>
    <w:p>
      <w:r>
        <w:t>A platform such as SailPoint Identity Security Cloud already provides the modeling primitives. Identity profiles classify agent types. Access profiles bundle tool and API scopes. Roles express an agent’s job function. Lifecycle states represent suspension and retirement. None of this requires new concepts. The work is applying familiar ones to a new population, and resisting the temptation to manage agents inside a separate AI-platform console that governance controls cannot reach.</w:t>
      </w:r>
    </w:p>
    <w:p>
      <w:pPr>
        <w:pStyle w:val="Heading2"/>
      </w:pPr>
      <w:r>
        <w:t>5.5 Replace Standing Privilege With Just-in-Time Grants</w:t>
      </w:r>
    </w:p>
    <w:p>
      <w:r>
        <w:t>Standing API scopes for agents are the new standing admin rights, and the finding that 73% of NHI-held secrets carry excessive permissions [4] should be read as a mandate to get rid of them. Just-in-time authorization replaces standing scopes: intent declared up front, time-bound, limited in scope. That model is the centerpiece of the CSA framework [4]. High-risk actions, payments, paths that could exfiltrate data, and changes to production require step-up human approval. None of this is new thinking. It is privileged access management discipline, applied to agents.</w:t>
      </w:r>
    </w:p>
    <w:p>
      <w:pPr>
        <w:pStyle w:val="Heading2"/>
      </w:pPr>
      <w:r>
        <w:t>5.6 Eliminate Static Credentials From Agent Paths</w:t>
      </w:r>
    </w:p>
    <w:p>
      <w:r>
        <w:t>Every static API key an agent can reach requires rotation or replacement. Short-lived, automatically rotated credentials take the place of static keys: SPIFFE SVIDs for service-to-service authentication, OAuth tokens with tight audiences and short expirations for tool calls. A key pasted into a prompt or sitting in an agent configuration is a finding, not a convenience.</w:t>
      </w:r>
    </w:p>
    <w:p>
      <w:pPr>
        <w:pStyle w:val="Heading2"/>
      </w:pPr>
      <w:r>
        <w:t>5.7 Extend Certification Campaigns to the Agent Population</w:t>
      </w:r>
    </w:p>
    <w:p>
      <w:r>
        <w:t>Certification belongs on ownership and purpose, on a regular cycle, not on 400 API scopes presented for rubber-stamp approval. Telemetry drives the entitlement review: agents whose exercised permissions drift from their declared intent get flagged, and whatever never gets used gets revoked automatically. The attestation tax is real. Value comes from signal, not ceremony.</w:t>
      </w:r>
    </w:p>
    <w:p>
      <w:pPr>
        <w:pStyle w:val="Heading2"/>
      </w:pPr>
      <w:r>
        <w:t>5.8 Build Attribution Into the Audit Trail</w:t>
      </w:r>
    </w:p>
    <w:p>
      <w:r>
        <w:t>Every consequential agent action belongs in the log with the agent’s identity, the full delegation chain, and the human sponsor. Those logs belong in the SIEM/SOAR next to the human identity telemetry. When the AI Act’s incident-reporting duties or an ISO 42001 audit asks who did what, the answer should be a query, not a project.</w:t>
      </w:r>
    </w:p>
    <w:p>
      <w:pPr>
        <w:pStyle w:val="Heading2"/>
      </w:pPr>
      <w:r>
        <w:t>5.9 Map Controls Once and Reuse the Evidence Everywhere</w:t>
      </w:r>
    </w:p>
    <w:p>
      <w:r>
        <w:t>One control mapping runs from the agent identity control plane to NIST AI RMF (Govern, Manage), ISO/IEC 42001 Annex A, the OWASP LLM06 and ASI03 mitigations, and the EU AI Act’s documentation duties. Most of the evidence tax is a duplication tax. A single mapping pays it once and serves every auditor who asks.</w:t>
      </w:r>
    </w:p>
    <w:p>
      <w:pPr>
        <w:pStyle w:val="Heading2"/>
      </w:pPr>
      <w:r>
        <w:t>5.10 Limitations</w:t>
      </w:r>
    </w:p>
    <w:p>
      <w:r>
        <w:t>The argument has limits that a reader should hold in view. The paper is a framework and practice synthesis, not a measurement study: the scale figures are compiled from industry research gathered in the CSA framework, and the paper adds no deployment data of its own. The central governance source, the CSA Agent Identity Governance Framework, remains a draft, and control mappings drawn from a draft will shift as the framework matures. Product capability claims rest on vendor releases and trade press reporting rather than on independent evaluation, and the platform treatment centers on SailPoint Identity Security Cloud; other identity governance platforms are named as analogues, not examined. The standards base is also in motion, MCP authorization implementations in particular, so specific mechanism guidance carries a shorter shelf life than the five-dimension structure of the tax itself.</w:t>
      </w:r>
    </w:p>
    <w:p>
      <w:pPr>
        <w:pStyle w:val="Heading2"/>
      </w:pPr>
      <w:r>
        <w:t>5.11 Open Challenges</w:t>
      </w:r>
    </w:p>
    <w:p>
      <w:r>
        <w:t>Two lenses organize what remains open. Under the operational lens, the lifecycle authority for sub-agents that live for minutes is still engineering work rather than a product default, and telemetry-driven attestation has no settled signal design: which drift matters, and how much drift triggers review, remain local decisions. Under the governance lens, digital identity guidance still offers no assurance model for non-human subjects, ownership attribution lags the size of the non-human population, and control evidence mapped once for several frameworks still depends on manual maintenance as each framework revises its text. None of these gaps closes on its own; each one is a place where the alignment tax will keep being charged until the field settles it.</w:t>
      </w:r>
    </w:p>
    <w:p>
      <w:pPr>
        <w:pStyle w:val="Heading1"/>
      </w:pPr>
      <w:r>
        <w:t>6. Conclusion</w:t>
      </w:r>
    </w:p>
    <w:p>
      <w:r>
        <w:t>The alignment tax is the price of production AI. Every enterprise that deploys autonomous agents will pay it, deliberately through architecture or involuntarily through incidents, audit findings, and canceled projects. The evidence says most organizations are on the involuntary plan today. Non-human identities outnumber humans by as much as 144 to 1. Nine in ten practitioners doubt their IAM stack can cope. Three-quarters of organizations have no documented agent identity policies. And by the incident data, the compromises have already begun.</w:t>
      </w:r>
    </w:p>
    <w:p>
      <w:r>
        <w:t>The optimistic reading is that the primitives exist and the patterns are known. Short-lived, attestation-bound credentials work. Just-in-time authorization works. Identity governance platforms already model identities, access, ownership, and lifecycle; they need to be extended to a new population, not reinvented. The standards are converging, too: NIST’s risk framework, the CSA’s governance framework, SPIFFE’s workload identity, MCP’s authorization layer, and the EU’s documentation duties each cover a piece of the problem. The integration is the IAM team’s job.</w:t>
      </w:r>
    </w:p>
    <w:p>
      <w:r>
        <w:t>Agent identity is IAM’s next program on the scale of joiner-mover-leaver: inventory first, sponsorship for every agent, just-in-time grants, attestation with telemetry, and complete retirement. Organizations that run that program will deploy agents with the same confidence they deploy employees. The ones that do not will find out, as Gartner’s cancellation warning suggests many already are, that the tax collector always gets paid.</w:t>
      </w:r>
    </w:p>
    <w:p>
      <w:pPr>
        <w:pStyle w:val="Heading1"/>
      </w:pPr>
      <w:r>
        <w:t>Acknowledgments</w:t>
      </w:r>
    </w:p>
    <w:p>
      <w:r>
        <w:t>AI Disclosure: AI tools were used to assist in drafting and editing this paper. All claims, data, and conclusions were reviewed and verified by the author.</w:t>
      </w:r>
    </w:p>
    <w:p>
      <w:pPr>
        <w:pStyle w:val="Heading1"/>
      </w:pPr>
      <w:r>
        <w:t>References</w:t>
      </w:r>
    </w:p>
    <w:p>
      <w:r>
        <w:t>[1] National Institute of Standards and Technology, Artificial Intelligence Risk Management Framework (AI RMF 1.0), NIST AI 100-1, January 2023.</w:t>
      </w:r>
    </w:p>
    <w:p>
      <w:r>
        <w:t>[2] National Institute of Standards and Technology, AI Risk Management Framework: Generative AI Profile, NIST AI 600-1, July 2024. https://doi.org/10.6028/NIST.AI.600-1</w:t>
      </w:r>
    </w:p>
    <w:p>
      <w:r>
        <w:t>[3] OWASP Foundation, OWASP Top 10 for LLM Applications 2025. https://genai.owasp.org/llm-top-10/</w:t>
      </w:r>
    </w:p>
    <w:p>
      <w:r>
        <w:t>[4] Cloud Security Alliance, Agent Identity Governance Framework, draft white paper, March 27, 2026. https://labs.cloudsecurityalliance.org/agentic/agentic-identity-governance-framework-v1/</w:t>
      </w:r>
    </w:p>
    <w:p>
      <w:r>
        <w:t>[5] Gartner, “3 Bold and Actionable Predictions for the Future of GenAI,” 2024 (predicting 33% of enterprise applications with agentic AI and 15% autonomous work decisions by 2028).</w:t>
      </w:r>
    </w:p>
    <w:p>
      <w:r>
        <w:t>[6] The Left Shift, “Agentic AI Could Make Inference Costs Soar More Than 5X by 2028: Gartner,” 2025 (reporting Gartner’s warning that 40%+ of agentic AI projects could be canceled by end of 2027). https://www.theleftshift.com/agentic-ai-could-make-inference-costs-soar-more-than-5x-by-2028-gartner/</w:t>
      </w:r>
    </w:p>
    <w:p>
      <w:r>
        <w:t>[7] SailPoint, Inc., “SailPoint Launches Agentic Fabric to Secure AI Identities Across the Enterprise,” press release, May 11, 2026. https://www.sailpoint.com/press-releases/sailpoint-launches-agentic-fabric</w:t>
      </w:r>
    </w:p>
    <w:p>
      <w:r>
        <w:t>[8] MSSP Alert, “SailPoint unifies human, machine and AI agent identity security,” August 2026 (Black Hat USA 2026 briefing). https://www.msspalert.com/brief/sailpoint-unifies-human-machine-and-ai-agent-identity-security</w:t>
      </w:r>
    </w:p>
    <w:p>
      <w:r>
        <w:t>[9] Pulse 2.0, “SailPoint To Acquire Entro To Expand AI Agent And Non-Human Identity Security Capabilities,” June 16, 2026. https://pulse2.com/sailpoint-to-acquire-entro-to-expand-ai-agent-and-non-human-identity-security-capabilities/</w:t>
      </w:r>
    </w:p>
    <w:p>
      <w:r>
        <w:t>[10] SPIFFE / SPIRE, Cloud Native Computing Foundation graduated projects (workload identity standard and runtime; SVIDs, Workload API). https://www.cncf.io/projects/spiffe/ and https://www.cncf.io/projects/spire/</w:t>
      </w:r>
    </w:p>
    <w:p>
      <w:r>
        <w:t>[11] IETF, Workload Identity in Multi-System Environments (WIMSE) working group, Architecture draft. https://datatracker.ietf.org/doc/html/draft-ietf-wimse-arch-07</w:t>
      </w:r>
    </w:p>
    <w:p>
      <w:r>
        <w:t>[12] R. Broeckelmann, “Model Context Protocol: MCP, OAuth2, and the Identity Problem of Agentic AI,” Medium, September 2026. https://medium.com/@robert.broeckelmann/model-context-protocol-mcp-oauth-and-the-identity-problem-of-agentic-ai-d8abe3f13736</w:t>
      </w:r>
    </w:p>
    <w:p>
      <w:r>
        <w:t>[13] National Institute of Standards and Technology, Digital Identity Guidelines, NIST SP 800-63-4, August 2025. https://www.nist.gov/publications/nist-sp-800-63-4-digital-identity-guidelines</w:t>
      </w:r>
    </w:p>
    <w:p>
      <w:r>
        <w:t>[14] ISO/IEC 42001:2023, Information technology — Artificial intelligence — Management system.</w:t>
      </w:r>
    </w:p>
    <w:p>
      <w:r>
        <w:t>[15] EU Artificial Intelligence Act: general-purpose AI model obligations applying from August 2, 2025, with Commission enforcement powers exercisable from August 2, 2026. See EU Today, “EU AI Act Enters Enforcement Phase,” 2026. https://eutoday.net/eu-ai-act-enforcement-transparency-rules/</w:t>
      </w:r>
    </w:p>
    <w:p>
      <w:r>
        <w:t>[16] National Institute of Standards and Technology, Security and Privacy Controls for Information Systems and Organizations, NIST SP 800-53 Rev. 5, 2020.</w:t>
      </w:r>
    </w:p>
    <w:p>
      <w:pPr>
        <w:pStyle w:val="Heading1"/>
      </w:pPr>
      <w:r>
        <w:t>Author Biography</w:t>
      </w:r>
    </w:p>
    <w:p>
      <w:r>
        <w:t>Prabin Shrestha is an identity and access management practitioner based in Irving, TX 75038, USA. He received the B.S. degree in computer science from McNeese State University and is pursuing the M.S. degree in information technology at the University of the Cumberlands. His professional work centers on identity governance, including Okta and SailPoint deployments, and his research addresses the governance and security of AI agents. ORCID: 0009-0000-9144-558X.</w:t>
      </w:r>
    </w:p>
    <w:p>
      <w:pPr>
        <w:pStyle w:val="Heading1"/>
      </w:pPr>
      <w:r>
        <w:t>License</w:t>
      </w:r>
    </w:p>
    <w:p>
      <w:r>
        <w:t>© 2026 Prabin Shrestha. This paper is licensed under the Creative Commons Attribution-NoDerivatives 4.0 International License (CC BY-ND 4.0). You may share it, in whole and unchanged, with attribution to the author. No modified versions may be distributed. License text: https://creativecommons.org/licenses/by-nd/4.0/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Alignment Tax Governing AI Agent Identity Inside the Enterprise IAM Estate</dc:title>
  <dc:subject/>
  <dc:creator>Prabin Shrestha</dc:creator>
  <cp:keywords/>
  <dc:description>generated by python-docx</dc:description>
  <cp:lastModifiedBy/>
  <cp:revision>1</cp:revision>
  <dcterms:created xsi:type="dcterms:W3CDTF">2013-12-23T23:15:00Z</dcterms:created>
  <dcterms:modified xsi:type="dcterms:W3CDTF">2013-12-23T23:15:00Z</dcterms:modified>
  <cp:category/>
</cp:coreProperties>
</file>