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Certifying the Machine Workforce:</w:t>
      </w:r>
    </w:p>
    <w:p>
      <w:pPr>
        <w:jc w:val="center"/>
      </w:pPr>
      <w:r>
        <w:rPr>
          <w:b/>
          <w:sz w:val="32"/>
        </w:rPr>
        <w:t>A Framework for Access Recertification</w:t>
      </w:r>
    </w:p>
    <w:p>
      <w:pPr>
        <w:jc w:val="center"/>
      </w:pPr>
      <w:r>
        <w:rPr>
          <w:b/>
          <w:sz w:val="32"/>
        </w:rPr>
        <w:t>of AI Agent Identities</w:t>
      </w:r>
    </w:p>
    <w:p>
      <w:pPr>
        <w:jc w:val="center"/>
      </w:pPr>
      <w:r>
        <w:t>Prabin Shrestha</w:t>
      </w:r>
    </w:p>
    <w:p>
      <w:pPr>
        <w:jc w:val="center"/>
      </w:pPr>
      <w:r>
        <w:t>University of the Cumberlands</w:t>
      </w:r>
    </w:p>
    <w:p>
      <w:pPr>
        <w:jc w:val="center"/>
      </w:pPr>
      <w:r>
        <w:t>prabinshrestha903@gmail.com</w:t>
      </w:r>
    </w:p>
    <w:p>
      <w:pPr>
        <w:jc w:val="center"/>
      </w:pPr>
      <w:r>
        <w:t>September 14, 2026</w:t>
      </w:r>
    </w:p>
    <w:p/>
    <w:p>
      <w:pPr>
        <w:pStyle w:val="Heading1"/>
      </w:pPr>
      <w:r>
        <w:t>Abstract</w:t>
      </w:r>
    </w:p>
    <w:p>
      <w:r>
        <w:t>Access certification rests on three assumptions: a manager who can attest for each account holder, a human resources system that signals when access should change, and a population small enough for human review on a quarterly or annual cycle. AI agents break all three. An agent holds API scopes, tool permissions, and database credentials and can act on behalf of users, yet no manager can state what the agent did in the last quarter, no HR feed records a change in its capabilities, and agent populations grow at machine speed. Industry guidance now states that agent access requires certification, but no published design states how a certification campaign should run for agent identities: the review unit is not defined, the evidence a reviewer needs remains unclear, the events that should trigger a review are not specified, and the link between a revoke decision and confirmed removal is missing. The Agent Certification Framework (ACF) answers those questions by rebuilding the certification campaign identity teams already run. The framework certifies effective authority rather than direct grants, builds evidence packages from actual usage, fires event-triggered micro-certifications with the periodic campaign as backstop, assigns review jointly to a business owner and a technical custodian, checks separation of duties over agent capabilities, and ties every revoke decision to confirmed removal. The paper is conceptual and presents no experiments, datasets, or measured results. Contributions: (1) an analysis of why human certification designs fail for agent identities, grounded in current industry and standards literature; (2) the Agent Certification Framework (ACF), a conceptual model with seven components and a two-party operating model that adapts certification campaigns to agents; (3) a plain account of the framework limitations and a research agenda for the empirical work that should follow.</w:t>
      </w:r>
    </w:p>
    <w:p>
      <w:pPr>
        <w:pStyle w:val="Heading1"/>
      </w:pPr>
      <w:r>
        <w:t>Index Terms</w:t>
      </w:r>
    </w:p>
    <w:p>
      <w:r>
        <w:t>AI agents, access recertification, non-human identity, IAM, identity governance, certification.</w:t>
      </w:r>
    </w:p>
    <w:p>
      <w:pPr>
        <w:pStyle w:val="Heading1"/>
      </w:pPr>
      <w:r>
        <w:t>1. Introduction</w:t>
      </w:r>
    </w:p>
    <w:p>
      <w:pPr>
        <w:pStyle w:val="Heading2"/>
      </w:pPr>
      <w:r>
        <w:t>1.1 Research Problem</w:t>
      </w:r>
    </w:p>
    <w:p>
      <w:r>
        <w:t>For the better part of two decades, identity practice has been getting human access reviews under control. The machinery is familiar. HR sends the joiner-mover-leaver feed and provisioning follows it. Managers attest for their own teams every quarter. Application owners certify entitlements. Auditors sample the evidence afterwards. It has never been perfect. But the machinery is understood, and mostly it works.</w:t>
      </w:r>
    </w:p>
    <w:p>
      <w:r>
        <w:t>Agents do not fit that machinery. The OpenID Foundation’s recent whitepaper uses agent to mean a software system that perceives context, reasons over goals, and takes actions to achieve objectives, often across tools, APIs, and other agents, and often on behalf of a user [1]. An agent picks up access the way an employee does. The plumbing around it was never built for that. Non-human identities are already outpacing IAM programs, with reported ratios as high as 75 non-human identities for every human one [7]. And the programs are not ready. A Cloud Security Alliance survey found that 78% of organizations have no documented policies for creating or removing AI identities, and 92% are not confident their legacy IAM tooling can manage the associated risks [5].</w:t>
      </w:r>
    </w:p>
    <w:p>
      <w:pPr>
        <w:pStyle w:val="Heading2"/>
      </w:pPr>
      <w:r>
        <w:t>1.2 Research Gap</w:t>
      </w:r>
    </w:p>
    <w:p>
      <w:r>
        <w:t>Access certification is the control that is meant to catch this drift. It is the periodic review of accounts for continued need, and it has been codified for decades in controls like NIST SP 800-53 AC-2 [8]. As practiced, though, certification is a human workflow. Items go to managers. HR events set the timing. And the design assumes the person reviewing can tell whether the access still makes sense. Pointed at agents, that workflow falls apart. Who certifies an agent that has no manager? What sets off a review when permissions change inside a vendor update and not in an HR transfer? And how is a quarterly campaign supposed to handle a population that grows at machine speed? Guidance from the industry now says agent access needs certifying. It does not say how to do it. That gap is what this paper takes up.</w:t>
      </w:r>
    </w:p>
    <w:p>
      <w:pPr>
        <w:pStyle w:val="Heading2"/>
      </w:pPr>
      <w:r>
        <w:t>1.3 Paper Contribution</w:t>
      </w:r>
    </w:p>
    <w:p>
      <w:r>
        <w:t>The central claim is direct: certification is still the right control for agent access, but the parts that were designed around people have to be rebuilt. Everything that follows is conceptual. This is a framework and position paper. It is not an empirical study. The contributions are:</w:t>
      </w:r>
    </w:p>
    <w:p>
      <w:r>
        <w:t>(1) A close look at why human certification designs fail for agent identities, grounded in current industry and standards literature (Section 3).</w:t>
      </w:r>
    </w:p>
    <w:p>
      <w:r>
        <w:t>(2) The Agent Certification Framework (ACF): a conceptual model with seven components and a two-party operating model that adapts certification campaigns to agents (Section 4).</w:t>
      </w:r>
    </w:p>
    <w:p>
      <w:r>
        <w:t>(3) An honest limitations section and research agenda (Section 5).</w:t>
      </w:r>
    </w:p>
    <w:p>
      <w:pPr>
        <w:pStyle w:val="Heading2"/>
      </w:pPr>
      <w:r>
        <w:t>1.4 Paper Structure</w:t>
      </w:r>
    </w:p>
    <w:p>
      <w:r>
        <w:t>The sections that follow build the framework in order. Foundations and Related Work groups the existing literature on agentic identity, non-human identity governance, the standards and protocol substrate, and access certification, and closes by restating the gap. Problem Analysis takes the four moving parts of a certification campaign, the population, the reviewers, the triggers, and the decision workflow, and shows where agent identities break each one. The Agent Certification Framework then presents the design principles, the named components, the operating model and sequence, and a worked scenario. Discussion states the implications for practice, the limitations of the design, and the open challenges and future work. The Conclusion draws the lessons for practitioners and researchers.</w:t>
      </w:r>
    </w:p>
    <w:p>
      <w:pPr>
        <w:pStyle w:val="Heading1"/>
      </w:pPr>
      <w:r>
        <w:t>2. Foundations and Related Work</w:t>
      </w:r>
    </w:p>
    <w:p>
      <w:r>
        <w:t>Four lines of work supply the foundations. Agentic IAM defines the identity problem and the delegation substrate. Non-human identity governance supplies the distinction between an identity and a credential, and the mover problem. Standards and protocol work supplies the vocabulary of delegation, provisioning, and control. The certification literature and current vendor guidance state the control itself and name agent certification as unfinished work. Each line is taken in turn, and the section closes by restating the gap the framework answers.</w:t>
      </w:r>
    </w:p>
    <w:p>
      <w:pPr>
        <w:pStyle w:val="Heading2"/>
      </w:pPr>
      <w:r>
        <w:t>2.1 Agentic IAM and Delegated Authority</w:t>
      </w:r>
    </w:p>
    <w:p>
      <w:r>
        <w:t>The starting point is the OpenID Foundation. Its Artificial Intelligence Identity Management Community Group has published the most comprehensive treatment of the problem to date. It works through dozens of challenges across authentication, authorization, and governance of AI agents, from verifiable delegated authority to scope attenuation along delegation chains [1]. The Coalition for Secure AI’s draft, “Agentic Identity and Access Management,” defines the discipline head-on: representing, authenticating, authorizing, and governing AI agents as verifiable, auditable identities. It also insists that existing IAM infrastructure stay the control plane. Extend it. Do not replace it [2]. An IETF Internet-Draft takes a narrower cut. It profiles existing OAuth extensions into an integrated authorization framework for agents, with the weight on cross-domain identity verification and verifiable consent evidence [3]. Google’s Agent2Agent (A2A) protocol works the adjacent problem of agent-to-agent interoperability [20]. None of these takes up certification campaigns. What they build is the identity substrate that certification would have to run on.</w:t>
      </w:r>
    </w:p>
    <w:p>
      <w:pPr>
        <w:pStyle w:val="Heading2"/>
      </w:pPr>
      <w:r>
        <w:t>2.2 Non-Human Identity Governance</w:t>
      </w:r>
    </w:p>
    <w:p>
      <w:r>
        <w:t>The Cloud Security Alliance report “Defining Non-Human Identity” makes the distinction this whole paper leans on. The identity is the application, the workload, the device, or the agent. The credential is only the key. Ownership and lifecycle policy attach to the identity. Rotation and cryptographic controls attach to the credential [4]. Then there is the NHI Management Group’s work on agent mover workflows. Its point is uncomfortable: for agents, the review event itself no longer exists. Permissions change inside workflows, releases, and vendor updates, and none of that leaves a durable artifact a reviewer can certify after the fact. Two of its failure modes are used in this paper. Capability drift is the gap between what an agent was approved to do and what it can do now. Invisible privilege creep gets in through OAuth consent, tool wiring, and model updates [16]. A 2026 SBSeg workshop paper looks at the other end of the lifecycle, the de-provisioning gap for agentic AI, and treats verifiable and rapid deprovisioning as a first-class requirement [6]. Practitioner maturity models tell the same story in stages: inventory first, then ownership, then runtime policy, and only then certification [17], [19].</w:t>
      </w:r>
    </w:p>
    <w:p>
      <w:pPr>
        <w:pStyle w:val="Heading2"/>
      </w:pPr>
      <w:r>
        <w:t>2.3 Standards and Protocol Substrate</w:t>
      </w:r>
    </w:p>
    <w:p>
      <w:r>
        <w:t>OAuth 2.0 [11] is still the delegation workhorse. Its Token Exchange profile, RFC 8693, provides the vocabulary used here: impersonation versus delegation semantics, the act claim that records who acted, and the may_act claim that says who is authorized to act as an agent [12]. SCIM (RFC 7643/7644) standardizes how identity data stays synchronized across domains [13], which makes it the natural feed for an agent registry. The Model Context Protocol (MCP), released by Anthropic in late 2024 [14], is how many agents reach their tools today. The NSA’s 2026 security assessment does not mince words about what is missing: authorization is optional at the protocol level, and agents routinely get broader tool access than their task requires [15]. NIST SP 800-63-4, the current digital identity guidance, is explicitly about proofing human users [9]. It is used here mostly for contrast. Agents have no equivalent assurance model.</w:t>
      </w:r>
    </w:p>
    <w:p>
      <w:pPr>
        <w:pStyle w:val="Heading2"/>
      </w:pPr>
      <w:r>
        <w:t>2.4 Access Certification in Identity Governance</w:t>
      </w:r>
    </w:p>
    <w:p>
      <w:r>
        <w:t>The certification control itself is old, and it is well codified. NIST SP 800-53 AC-2 requires organizations to review accounts for compliance with account management requirements. AC-5 covers separation of duties, and AC-6 covers least privilege [8]. ISO/IEC 24760-1 defines the identity lifecycle concepts (enrollment, maintenance, de-provisioning) that campaigns put into practice [10]. Practitioner reporting states the lifecycle mismatch directly: identity lifecycle management was not built for AI agents [21]. What is new is pointing any of this at agents. Okta’s agent identity architecture lists “agent access certification” as explicit next-phase work, with each agent’s authority going through the same attestation and review as any other access [18]. An IDC maturity model for agentic AI identity puts agent lifecycle and ownership in as a core capability area [7]. So the gap is not hard to state. The industry agrees agents need certification, and no published work describes how to design it. That is the hole this paper fills, conceptually.</w:t>
      </w:r>
    </w:p>
    <w:p>
      <w:pPr>
        <w:pStyle w:val="Heading1"/>
      </w:pPr>
      <w:r>
        <w:t>3. Problem Analysis</w:t>
      </w:r>
    </w:p>
    <w:p>
      <w:r>
        <w:t>A certification campaign has four moving parts. There is a population of identities. There is a set of reviewers. There are triggers. And there is a decision workflow that ends in revocation. Agents break all four.</w:t>
      </w:r>
    </w:p>
    <w:p>
      <w:pPr>
        <w:pStyle w:val="Heading2"/>
      </w:pPr>
      <w:r>
        <w:t>3.1 There Is No One to Ask</w:t>
      </w:r>
    </w:p>
    <w:p>
      <w:r>
        <w:t>Human campaigns send the work to the manager, on the assumption that the manager knows what their people actually do. Agents have no manager. Worse, the research keeps finding an ownership vacuum around AI identities [4], [5]. Take away the accountable reviewer and the campaign rots into what practitioners call, usually out of the auditor’s hearing, “certify-all”: the reviewer clicks approve because the screen gives them no basis to do anything else. Experience on the reviewer side of such campaigns in SailPoint IdentityIQ and ISC confirms the pattern: certify-all is what results when the screen gives the reviewer nothing to judge. So a framework for agents cannot inherit the reviewer. It has to manufacture the role.</w:t>
      </w:r>
    </w:p>
    <w:p>
      <w:pPr>
        <w:pStyle w:val="Heading2"/>
      </w:pPr>
      <w:r>
        <w:t>3.2 There Is No HR Trigger</w:t>
      </w:r>
    </w:p>
    <w:p>
      <w:r>
        <w:t>Human lifecycle governance runs off HR. Somebody joins, moves, or leaves, and the event drives the change [10]. Agents are not born in HR. They are born in CI/CD pipelines. Orchestration frameworks spawn them. Vendor updates change them. Not one of those produces a JML event. The NHIMG analysis says it flatly: “the review event no longer exists” for agent movers. The permission changed, but nothing durable marks the moment for a reviewer [16]. A calendar campaign will miss these changes every time. The triggers have to come from events an enterprise can actually see: deployments, tool wiring changes, delegation grants.</w:t>
      </w:r>
    </w:p>
    <w:p>
      <w:pPr>
        <w:pStyle w:val="Heading2"/>
      </w:pPr>
      <w:r>
        <w:t>3.3 The Population Does Not Fit the Cadence</w:t>
      </w:r>
    </w:p>
    <w:p>
      <w:r>
        <w:t>Human campaigns run quarterly, or twice a year, because the population sits still long enough to count. Agent populations do not. Reported ratios of non-human to human identities reach 75:1 [7], and agents are the fastest-growing part of that count. A human-style quarterly campaign run across it produces one of two things: a rubber stamp, or a second full-time job. The unit of review has to shrink. Not everything an identity holds, once a quarter. Small decisions, made often, and made when something changes.</w:t>
      </w:r>
    </w:p>
    <w:p>
      <w:pPr>
        <w:pStyle w:val="Heading2"/>
      </w:pPr>
      <w:r>
        <w:t>3.4 Capabilities Drift Between Campaigns</w:t>
      </w:r>
    </w:p>
    <w:p>
      <w:r>
        <w:t>An agent approved in January with five tools can hold fifteen by June. Three vendor updates and two integration projects did that, and every single step looked reasonable on its own. Together, they are a different risk profile. The NHIMG analysis calls this capability drift and treats it as a governance state, not an exception [16]. MCP deployments show how it happens in practice. Tools get exposed broadly, authorization is optional, and agents pick up effective privilege that no single control plane reports in full [15].</w:t>
      </w:r>
    </w:p>
    <w:p>
      <w:pPr>
        <w:pStyle w:val="Heading2"/>
      </w:pPr>
      <w:r>
        <w:t>3.5 Authority Is Delegated, Not Just Granted</w:t>
      </w:r>
    </w:p>
    <w:p>
      <w:r>
        <w:t>A person’s access is, roughly, the sum of what they were granted directly. An agent’s effective authority is bigger than that. It includes what the agent can do for other people and what it can hand on: the act chains and may_act grants of RFC 8693 [12], the sub-agents it spawns, and the tools it can call that call further tools in turn. Certifying only the direct grants leaves the same blind spot as certifying a manager’s own access while saying nothing about approval rights. The review has to cover the delegation surface too.</w:t>
      </w:r>
    </w:p>
    <w:p>
      <w:pPr>
        <w:pStyle w:val="Heading2"/>
      </w:pPr>
      <w:r>
        <w:t>3.6 Ephemerality Collides with Standing Access</w:t>
      </w:r>
    </w:p>
    <w:p>
      <w:r>
        <w:t>The pattern everyone recommends for agents is short-lived, task-scoped credentials [2]. Taken literally, that pattern would make certification go away. There would be nothing standing to review. Practice is messier. Agents also hold standing grants: the service account, the OAuth refresh token, the database credential that never rotates. Certification has to cover both kinds, and it has to tell them apart. The standing grants earn the hardest look, precisely because they persist.</w:t>
      </w:r>
    </w:p>
    <w:p>
      <w:pPr>
        <w:pStyle w:val="Heading1"/>
      </w:pPr>
      <w:r>
        <w:t>4. The Agent Certification Framework</w:t>
      </w:r>
    </w:p>
    <w:p>
      <w:r>
        <w:t>The Agent Certification Framework (ACF) takes the certification campaign identity teams already run and adapts it to agent identities. It is a conceptual model. It sets out components, data, roles, and triggers, and it is meant to sit on top of the IGA tooling that already runs campaigns for people.</w:t>
      </w:r>
    </w:p>
    <w:p>
      <w:pPr>
        <w:pStyle w:val="Heading2"/>
      </w:pPr>
      <w:r>
        <w:t>4.1 Design Principles</w:t>
      </w:r>
    </w:p>
    <w:p>
      <w:r>
        <w:t>Certify effective authority, not just direct grants. The review unit is everything the agent can reach, delegated and transitive access included.</w:t>
      </w:r>
    </w:p>
    <w:p>
      <w:r>
        <w:t>Evidence before attestation. The reviewer sees what the agent actually did, not just what it holds.</w:t>
      </w:r>
    </w:p>
    <w:p>
      <w:r>
        <w:t>Events beat calendars. Reviews fire when something changes, and the periodic campaign is the backstop, not the main mechanism.</w:t>
      </w:r>
    </w:p>
    <w:p>
      <w:r>
        <w:t>Two-party ownership. Every agent has a business owner and a technical custodian, and neither one certifies alone.</w:t>
      </w:r>
    </w:p>
    <w:p>
      <w:r>
        <w:t>Revocation is part of the decision. A “revoke” that nobody confirms was actually removed is not a decision [6].</w:t>
      </w:r>
    </w:p>
    <w:p>
      <w:r>
        <w:t>Extend the IGA control plane. Do not fork it [2]. Agent certification belongs in the same system as human certification, with the same audit trail.</w:t>
      </w:r>
    </w:p>
    <w:p>
      <w:pPr>
        <w:pStyle w:val="Heading2"/>
      </w:pPr>
      <w:r>
        <w:t>4.2 Components</w:t>
      </w:r>
    </w:p>
    <w:p>
      <w:r>
        <w:t>(1) Agent identity registry. Enroll every agent as a first-class identity, with its own unique identifier, a business owner, a technical custodian, a stated purpose, a lifecycle state (proposed, active, suspended, decommissioned), and an inventory of its credentials. The registry is the population the campaign draws from. Enrollment is also the control that keeps shadow agents out of the blind spot, because an agent nobody enrolled is an agent nobody reviews. That is the discovery and visibility problem industry guidance keeps flagging [5], [7]. SCIM-style provisioning feeds [13] keep the registry in step with the deployment platforms.</w:t>
      </w:r>
    </w:p>
    <w:p>
      <w:r>
        <w:t>(2) Entitlement graph. For each agent, the graph records the direct grants (scopes, tool permissions, credentials) and the delegation edges: who the agent may act for, which sub-agents it may invoke, and which tools those sub-agents can reach. That graph is the review surface. It is also, plainly, the hardest engineering in the whole framework. That data has to be joined across the IdP, the agent platform, and the tool gateways, and Section 5 does not pretend otherwise.</w:t>
      </w:r>
    </w:p>
    <w:p>
      <w:r>
        <w:t>(3) Evidence-driven review packages. A raw list of entitlements handed to a reviewer does not support judgment. The campaign builds a package instead: what the agent actually used in the review period (tools invoked, data accessed, actions taken), what changed since the last review, any policy violations, and drift flags where the agent can now do more than the last certified baseline allowed. The reviewer works the exceptions, against evidence. This is the direct answer to “certify-all”. The package gives the reviewer something worth reviewing.</w:t>
      </w:r>
    </w:p>
    <w:p>
      <w:r>
        <w:t>(4) Event-triggered micro-certifications. Certain changes open a review on their own: a new tool wired in, a model or vendor update, a new delegation grant, a scope expansion, an ownership change. Each one gets a small, targeted review within days, scoped to what changed. The quarterly campaign does not disappear. It drops to backstop duty and catches whatever the event stream missed. That turns the traditional model on its head. The calendar becomes the safety net. It stops being the mechanism.</w:t>
      </w:r>
    </w:p>
    <w:p>
      <w:r>
        <w:t>(5) Delegation-aware decisions. The decision has to speak to delegation authority directly: who this agent may act for (may_act [12]), and what it may pass on to others. A certification that approves an agent’s tool access and says nothing about its right to spawn sub-agents carrying the same access has certified nothing at all.</w:t>
      </w:r>
    </w:p>
    <w:p>
      <w:r>
        <w:t>(6) Separation-of-duties checks for agents. The logic of AC-5 [8] carries over to agents cleanly, and most of it can be computed. Write down the capability pairs that must never sit together (deploy to production against approve production changes; read customer PII against publish to public channels, for example) and flag any agent holding both sides. Human SoD leans on role design. Agent SoD can run continuously against the entitlement graph instead. That is one place where a machine population is genuinely easier to govern.</w:t>
      </w:r>
    </w:p>
    <w:p>
      <w:r>
        <w:t>(7) Revocation linkage. Every revoke or reduce decision creates a tracked task, and that task stays open until deprovisioning has propagated. The campaign system confirms the grant is really gone, in every connected system, before anyone marks the decision complete. The SBSeg analysis of the de-provisioning gap [6] shows why this requirement stands. A revocation that stops at the IdP, while the agent’s long-lived tokens live on somewhere else, is theater.</w:t>
      </w:r>
    </w:p>
    <w:p>
      <w:pPr>
        <w:pStyle w:val="Heading2"/>
      </w:pPr>
      <w:r>
        <w:t>4.3 Operating Model</w:t>
      </w:r>
    </w:p>
    <w:p>
      <w:r>
        <w:t>Three roles share the work. The agent owner sits on the business side. The owner justifies the scope, names what should end the access (project end, contract end, purpose fulfilled), and makes the keep-or-revoke call on business need. The technical custodian sits on the platform or engineering side. The custodian keeps the registry record straight, makes sure the telemetry flows, and carries out the revocation. The IAM team owns the framework itself: campaign mechanics, evidence pipelines, SoD rule sets, and metrics. Over the top of that sits a periodic governance review. IAM reports coverage and compliance, and owners report scope reductions and the agents they have deprovisioned. Practitioner guides already recommend that pattern [19]. And no single party certifies alone. That is deliberate. The owner has no telemetry. The custodian has no business context. IAM has neither. Together, the three roles give the attestation substance.</w:t>
      </w:r>
    </w:p>
    <w:p>
      <w:pPr>
        <w:pStyle w:val="Heading2"/>
      </w:pPr>
      <w:r>
        <w:t>4.4 Operating Sequence</w:t>
      </w:r>
    </w:p>
    <w:p>
      <w:r>
        <w:t>The operating sequence runs in a fixed order. Enrollment comes first: an agent enters the registry with a unique identifier, a business owner, a technical custodian, a stated purpose, a lifecycle state, and an inventory of its credentials, and provisioning feeds keep that record current as deployment platforms change. The entitlement graph is then assembled for the enrolled agent, joining direct grants with delegation edges across the identity provider, the agent platform, and the tool gateways. During operation, the event stream watches for the changes that open a review on their own: a new tool wired in, a model or vendor update, a new delegation grant, a scope expansion, or an ownership change. When an event fires, the campaign builds the evidence package for the affected agent, covering what the agent actually used in the review period, what changed since the last review, any policy violations, and drift flags against the last certified baseline. The separation-of-duties checks run against the entitlement graph, and the owner and the custodian review the package together, because neither party certifies alone. The decision is stated over delegation authority as well as direct grants. A keep decision returns the agent to operation under the certified baseline. A revoke or reduce decision creates a tracked task, and the task stays open until deprovisioning has propagated and removal is confirmed in every connected system. The periodic campaign closes the sequence as backstop, sweeping the enrolled population for whatever the event stream missed, and the periodic governance review reports coverage, scope reductions, and the agents that have been deprovisioned.</w:t>
      </w:r>
    </w:p>
    <w:p>
      <w:pPr>
        <w:pStyle w:val="Heading2"/>
      </w:pPr>
      <w:r>
        <w:t>4.5 Worked Scenario: The Invoice-Processing Agent</w:t>
      </w:r>
    </w:p>
    <w:p>
      <w:r>
        <w:t>The walkthrough uses a hypothetical invoice-processing agent, the kind agentic IAM guidance uses as a running example [2]. It can read an AP inbox, call an OCR tool, and post to an ERP. It also has a workflow tool, slipped in by a vendor update nobody flagged, that can approve payments under a threshold. The ACF sequence runs as follows. The registry names the owner, the AP lead, and the custodian, the platform team. The entitlement graph shows the new delegation edge out to the approval tool. The vendor update fires a micro-certification. The review package shows the agent approved eleven payments last month, which is evidence the owner never meant to grant any such thing. The SoD check flags “post invoice” and “approve payment” sitting in the same agent. The owner revokes the approval-tool grant, and the campaign tracks that revocation until removal is confirmed. That is the mechanics, illustrated. It is not a case study, and no deployment of this kind was measured.</w:t>
      </w:r>
    </w:p>
    <w:p>
      <w:pPr>
        <w:pStyle w:val="Heading1"/>
      </w:pPr>
      <w:r>
        <w:t>5. Discussion</w:t>
      </w:r>
    </w:p>
    <w:p>
      <w:r>
        <w:t>For practice, the framework asks identity teams to extend the campaign system already in use rather than build a parallel control plane for agents. The starting point is enrollment: an agent that sits outside the registry cannot be certified, so inventory and ownership come before review mechanics. The next requirement is evidence. A reviewer handed a raw entitlement list has nothing to judge, and the campaign falls back to the certify-all pattern the framework exists to prevent. Where telemetry is thin, the fallback mode is owner attestation plus separation-of-duties checks, and that mode should be named as the weaker one in any deployment plan. A real implementation would start with one platform and expand from there, tuning which events fire a micro-certification and how fast each review must close. The limits of the design are stated plainly in the Limitations subsection, and the challenges that remain open follow it.</w:t>
      </w:r>
    </w:p>
    <w:p>
      <w:pPr>
        <w:pStyle w:val="Heading2"/>
      </w:pPr>
      <w:r>
        <w:t>5.1 Limitations</w:t>
      </w:r>
    </w:p>
    <w:p>
      <w:r>
        <w:t>This is a conceptual paper. Its limits are stated plainly in this section.</w:t>
      </w:r>
    </w:p>
    <w:p>
      <w:r>
        <w:t>First, nothing here has been validated empirically. Nobody has implemented the framework and measured what happened, and the walkthrough above is an illustration, not evidence. Any statement about effort, reviewer behavior, or risk reduction would be speculation, and none is made.</w:t>
      </w:r>
    </w:p>
    <w:p>
      <w:r>
        <w:t>Second, the framework leans on usage telemetry of reasonable quality: which tools the agent called, what data it touched, what it did and for whom. CSA’s survey suggests most organizations cannot yet see their own agent population clearly [5], and evidence-driven review is only ever as good as the evidence pipeline behind it. Where the telemetry is thin, ACF falls back to owner attestation plus SoD checks. That fallback works, but call it what it is: the weaker mode, not the design.</w:t>
      </w:r>
    </w:p>
    <w:p>
      <w:r>
        <w:t>Third, the entitlement graph is the hard part. Agents sprawl across IdPs, agent platforms, MCP gateways, and SaaS APIs, and those systems do not share an identity fabric [1], [16]. No framework paper can hand-wave that integration work away, and this paper does not attempt to. A real implementation would start with one platform and expand from there.</w:t>
      </w:r>
    </w:p>
    <w:p>
      <w:r>
        <w:t>Fourth, reviewer fatigue is a genuine risk. Event-triggered review creates more decision points, not fewer, and owners given weak evidence packages and loose thresholds will satisfice, the same way managers do now. Which events should fire, and with what SLA, are tuning questions. Only operational use will answer them.</w:t>
      </w:r>
    </w:p>
    <w:p>
      <w:r>
        <w:t>Fifth, the standards underneath all of this are still moving. The IETF agent authorization framework is an Internet-Draft [3]. MCP authorization is still optional [15]. Cross-vendor agent identity has no settled standard [1]. ACF is designed against extension points, OAuth delegation semantics and SCIM feeds, rather than against any single protocol. Even so, the framework will need revision as the substrate settles.</w:t>
      </w:r>
    </w:p>
    <w:p>
      <w:pPr>
        <w:pStyle w:val="Heading2"/>
      </w:pPr>
      <w:r>
        <w:t>5.2 Open Challenges and Future Work</w:t>
      </w:r>
    </w:p>
    <w:p>
      <w:r>
        <w:t>Three open challenges frame the research agenda: joining entitlement data across systems that share no identity fabric, tuning event triggers so that added decision points do not recreate reviewer fatigue, and tracking a standards substrate that is still moving.</w:t>
      </w:r>
    </w:p>
    <w:p>
      <w:r>
        <w:t>Future work, in priority order: (1) a formal model of delegation-aware certification, one that defines “effective authority” over act chains precisely; (2) operational metrics (certification coverage of the agent population, decision latency on micro-certifications, revocation confirmation rate), so that two implementations can be compared with each other; (3) integration with continuous revocation signaling, so a certification decision lands in minutes instead of waiting for the next sync; (4) field studies that map ACF onto production IGA deployments, including how it lives alongside human campaigns in established IGA tooling; (5) a wider SoD rule set, built out into an agent-specific conflict library.</w:t>
      </w:r>
    </w:p>
    <w:p>
      <w:pPr>
        <w:pStyle w:val="Heading1"/>
      </w:pPr>
      <w:r>
        <w:t>6. Conclusion</w:t>
      </w:r>
    </w:p>
    <w:p>
      <w:r>
        <w:t>Agents are picking up access at machine speed. The control that is supposed to govern standing access, periodic certification, still assumes a person sits behind every account. The industry can see it. Agent access certification shows up in vendor roadmaps and maturity models as required future work [7], [18]. What was missing was a design, and this paper has supplied one, conceptually: certify effective authority, not direct grants; lead with evidence, not attestation; trigger on events, not calendars; split ownership between business and platform; and tie every revoke decision to removal that has been confirmed. No new control plane is needed for any of that. The requirement is to extend the one already run by the identity team. The framework is unproven. That limitation has been stated throughout and is restated here. For practitioners, it is a place to start, with the failure modes named before they are encountered. For researchers, it names a precise gap: certifying machine identities, treated at last as a first-class governance problem.</w:t>
      </w:r>
    </w:p>
    <w:p>
      <w:pPr>
        <w:pStyle w:val="Heading1"/>
      </w:pPr>
      <w:r>
        <w:t>Acknowledgments</w:t>
      </w:r>
    </w:p>
    <w:p>
      <w:r>
        <w:t>AI Disclosure: AI tools were used to assist in drafting and editing this paper. All claims, data, and conclusions were reviewed and verified by the author.</w:t>
      </w:r>
    </w:p>
    <w:p>
      <w:pPr>
        <w:pStyle w:val="Heading1"/>
      </w:pPr>
      <w:r>
        <w:t>References</w:t>
      </w:r>
    </w:p>
    <w:p>
      <w:r>
        <w:t>[1] T. South et al., “Identity Management for Agentic AI: The New Frontier of Authorization, Authentication, and Security for an AI Agent World,” OpenID Foundation, Whitepaper, 2025.</w:t>
      </w:r>
    </w:p>
    <w:p>
      <w:r>
        <w:t>[2] Coalition for Secure AI, “Agentic Identity and Access Management,” Draft, approved Mar. 20, 2026.</w:t>
      </w:r>
    </w:p>
    <w:p>
      <w:r>
        <w:t>[3] Y. Liu et al., “AI Agent Authorization Integration Framework,” IETF Internet-Draft draft-liu-ai-agent-authorization-integration-00, July 2026.</w:t>
      </w:r>
    </w:p>
    <w:p>
      <w:r>
        <w:t>[4] Cloud Security Alliance, Identity and Access Management Working Group, “Defining Non-Human Identity,” 2026.</w:t>
      </w:r>
    </w:p>
    <w:p>
      <w:r>
        <w:t>[5] Cloud Security Alliance and Oasis Security, “The State of Non-Human Identity and AI Security,” Survey Report, Jan. 2026.</w:t>
      </w:r>
    </w:p>
    <w:p>
      <w:r>
        <w:t>[6] “The De-Provisioning Gap in Identity Management for Agentic AI,” in Proc. 26º Simpósio Brasileiro de Cibersegurança (SBSeg 2026), Workshop de Gestão de Identidades Digitais, Armação dos Búzios, Brazil, 2026.</w:t>
      </w:r>
    </w:p>
    <w:p>
      <w:r>
        <w:t>[7] IDC, “Managing Agentic AI Through the Identity Control Plane: What Organizations Should Look For,” White Paper, sponsored by GuidePoint Security, Sept. 2026.</w:t>
      </w:r>
    </w:p>
    <w:p>
      <w:r>
        <w:t>[8] National Institute of Standards and Technology, “Security and Privacy Controls for Information Systems and Organizations,” NIST SP 800-53 Rev. 5, Sept. 2020.</w:t>
      </w:r>
    </w:p>
    <w:p>
      <w:r>
        <w:t>[9] National Institute of Standards and Technology, “Digital Identity Guidelines,” NIST SP 800-63-4, July 2025.</w:t>
      </w:r>
    </w:p>
    <w:p>
      <w:r>
        <w:t>[10] ISO/IEC, “IT Security and Privacy — A Framework for Identity Management — Part 1: Terminology and Concepts,” ISO/IEC 24760-1:2019, 2nd ed., May 2019.</w:t>
      </w:r>
    </w:p>
    <w:p>
      <w:r>
        <w:t>[11] D. Hardt, Ed., “The OAuth 2.0 Authorization Framework,” IETF RFC 6749, Oct. 2012.</w:t>
      </w:r>
    </w:p>
    <w:p>
      <w:r>
        <w:t>[12] M. Jones, A. Nadalin, B. Campbell, Ed., J. Bradley, and C. Mortimore, “OAuth 2.0 Token Exchange,” IETF RFC 8693, Jan. 2020.</w:t>
      </w:r>
    </w:p>
    <w:p>
      <w:r>
        <w:t>[13] P. Hunt et al., “System for Cross-domain Identity Management: Core Schema,” IETF RFC 7643, Sept. 2015; P. Hunt et al., “System for Cross-domain Identity Management: Protocol,” IETF RFC 7644, Sept. 2015.</w:t>
      </w:r>
    </w:p>
    <w:p>
      <w:r>
        <w:t>[14] Anthropic, “Model Context Protocol,” Specification, Nov. 2024.</w:t>
      </w:r>
    </w:p>
    <w:p>
      <w:r>
        <w:t>[15] National Security Agency, Artificial Intelligence Security Center, “Model Context Protocol (MCP): Security Design Considerations for AI-Driven Automation,” Cybersecurity Information Sheet U/OO/6030316-26 | PP-26-1834, May 2026.</w:t>
      </w:r>
    </w:p>
    <w:p>
      <w:r>
        <w:t>[16] NHI Management Group, “AI Agent Mover Workflows Are Breaking Traditional Identity Governance,” nhimg.org, 2026.</w:t>
      </w:r>
    </w:p>
    <w:p>
      <w:r>
        <w:t>[17] CSO Online, “Agentic AI Identity: A 6-Stage Maturity Model for Non-Human Identities,” 2026.</w:t>
      </w:r>
    </w:p>
    <w:p>
      <w:r>
        <w:t>[18] Okta, “How to Secure AI Agents in the Enterprise,” 2026. [Online]. Available: https://www.okta.com/blog/ai/okta-securing-ai-agent-identity/</w:t>
      </w:r>
    </w:p>
    <w:p>
      <w:r>
        <w:t>[19] SC World, “How to Govern AI Agents Using Non-Human Identity Principles,” 2026.</w:t>
      </w:r>
    </w:p>
    <w:p>
      <w:r>
        <w:t>[20] Google, “Agent2Agent (A2A) Protocol: A New Era of Agent Interoperability,” Google Developers Blog, 2025.</w:t>
      </w:r>
    </w:p>
    <w:p>
      <w:r>
        <w:t>[21] The Hacker News, “Identity Lifecycle Management Wasn’t Built for AI Agents,” July 2026.</w:t>
      </w:r>
    </w:p>
    <w:p>
      <w:pPr>
        <w:pStyle w:val="Heading1"/>
      </w:pPr>
      <w:r>
        <w:t>Author Biography</w:t>
      </w:r>
    </w:p>
    <w:p>
      <w:r>
        <w:t>Prabin Shrestha is an identity and access management practitioner based in Irving, TX 75038, USA. He received the B.S. degree in computer science from McNeese State University and is pursuing the M.S. degree in information technology at the University of the Cumberlands. His professional work centers on identity governance, including Okta and SailPoint deployments, and his research addresses the governance and security of AI agents. ORCID: 0009-0000-9144-558X.</w:t>
      </w:r>
    </w:p>
    <w:p>
      <w:pPr>
        <w:pStyle w:val="Heading1"/>
      </w:pPr>
      <w:r>
        <w:t>License</w:t>
      </w:r>
    </w:p>
    <w:p>
      <w:r>
        <w:t>© 2026 Prabin Shrestha. This paper is licensed under the Creative Commons Attribution-NoDerivatives 4.0 International License (CC BY-ND 4.0). You may share it, in whole and unchanged, with attribution to the author. No modified versions may be distributed. License text: https://creativecommons.org/licenses/by-nd/4.0/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Certifying the Machine Workforce: A Framework for Access Recertification of AI Agent Identities</dc:title>
  <dc:subject/>
  <dc:creator>Prabin Shrestha</dc:creator>
  <cp:keywords/>
  <dc:description>generated by python-docx</dc:description>
  <cp:lastModifiedBy/>
  <cp:revision>1</cp:revision>
  <dcterms:created xsi:type="dcterms:W3CDTF">2013-12-23T23:15:00Z</dcterms:created>
  <dcterms:modified xsi:type="dcterms:W3CDTF">2013-12-23T23:15:00Z</dcterms:modified>
  <cp:category/>
</cp:coreProperties>
</file>