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From Rubber Stamp to Informed Attestation:</w:t>
      </w:r>
    </w:p>
    <w:p>
      <w:pPr>
        <w:jc w:val="center"/>
      </w:pPr>
      <w:r>
        <w:rPr>
          <w:b/>
          <w:sz w:val="32"/>
        </w:rPr>
        <w:t>A Framework for LLM-Assisted Access Certification</w:t>
      </w:r>
    </w:p>
    <w:p>
      <w:pPr>
        <w:jc w:val="center"/>
      </w:pPr>
      <w:r>
        <w:rPr>
          <w:b/>
          <w:sz w:val="32"/>
        </w:rPr>
        <w:t>in Identity Governance</w:t>
      </w:r>
    </w:p>
    <w:p>
      <w:pPr>
        <w:jc w:val="center"/>
      </w:pPr>
      <w:r>
        <w:t>Prabin Shrestha</w:t>
      </w:r>
    </w:p>
    <w:p>
      <w:pPr>
        <w:jc w:val="center"/>
      </w:pPr>
      <w:r>
        <w:t>University of the Cumberlands</w:t>
      </w:r>
    </w:p>
    <w:p>
      <w:pPr>
        <w:jc w:val="center"/>
      </w:pPr>
      <w:r>
        <w:t>prabinshrestha903@gmail.com</w:t>
      </w:r>
    </w:p>
    <w:p>
      <w:pPr>
        <w:jc w:val="center"/>
      </w:pPr>
      <w:r>
        <w:t>September 12, 2026</w:t>
      </w:r>
    </w:p>
    <w:p/>
    <w:p>
      <w:pPr>
        <w:pStyle w:val="Heading1"/>
      </w:pPr>
      <w:r>
        <w:t>Abstract</w:t>
      </w:r>
    </w:p>
    <w:p>
      <w:r>
        <w:t>Access certification asks managers and application owners to attest that user access remains appropriate, yet the review screen gives the reviewer almost nothing to decide with: no plain-language explanation of what an entitlement grants, no record of whether the access was used, and no comparison with what peers hold. The result is predictable: campaigns close at full completion with almost no revocations, and the control attests without informing. The gap is precise. Certification platforms route items to reviewers but do not supply decision evidence; published language-model research targets access decisions at the enforcement point rather than the periodic attestation that follows; and no framework defines how a language model can support the reviewer while the reviewer alone remains accountable for the decision. The paper answers with LLM-Assisted Access Certification (LAAC), a framework in which a language model prepares an evidence-backed briefing for each review item and the human reviewer makes and signs every decision. The model briefs. The human signs. The contributions are: (1) an analysis of the related work that locates the gap at the certification workflow itself; (2) the LAAC framework, stated as five design principles and a five-component reference architecture, with safeguards against automation bias grounded in human-factors research; and (3) a fully specified study design for evaluating whether briefings improve decision quality, offered as future work. The paper is conceptual: no experiments are reported and no empirical claims are made.</w:t>
      </w:r>
    </w:p>
    <w:p>
      <w:pPr>
        <w:pStyle w:val="Heading1"/>
      </w:pPr>
      <w:r>
        <w:t>Index Terms</w:t>
      </w:r>
    </w:p>
    <w:p>
      <w:r>
        <w:t>access certification, LLM, identity governance, attestation, AI oversight, recertification.</w:t>
      </w:r>
    </w:p>
    <w:p>
      <w:pPr>
        <w:pStyle w:val="Heading1"/>
      </w:pPr>
      <w:r>
        <w:t>1. Introduction</w:t>
      </w:r>
    </w:p>
    <w:p>
      <w:pPr>
        <w:pStyle w:val="Heading2"/>
      </w:pPr>
      <w:r>
        <w:t>1.1 Research Problem</w:t>
      </w:r>
    </w:p>
    <w:p>
      <w:r>
        <w:t>Every large organization runs access certification campaigns. Once or twice a year, managers receive a list of their team members and every entitlement each person holds, and they are asked to certify that the access is still appropriate. Application owners do the same for the accounts on their systems. The finished campaign then becomes audit evidence: proof that access is reviewed, least privilege is maintained, and regulatory obligations under frameworks such as SOX, HIPAA, and PCI-DSS are met.</w:t>
      </w:r>
    </w:p>
    <w:p>
      <w:r>
        <w:t>Anyone who has administered these campaigns knows the uncomfortable truth: most reviews are not really reviews. From the admin side of these campaigns, the approve-all click does its quiet damage. A manager opens a list of three hundred cryptic role names, has a deadline, and clicks approve on all of them. Completion rates look excellent. Revocation rates hover near zero. The control exists on paper. In practice, it barely functions. The problem is not laziness. Reviewers are asked to make governance decisions with almost no information: no usage data, no plain-language description of what an entitlement grants, no comparison with what peers hold, no signal about which items deserve a closer look.</w:t>
      </w:r>
    </w:p>
    <w:p>
      <w:pPr>
        <w:pStyle w:val="Heading2"/>
      </w:pPr>
      <w:r>
        <w:t>1.2 Research Gap</w:t>
      </w:r>
    </w:p>
    <w:p>
      <w:r>
        <w:t>Large language models open a real possibility here, but not the use vendors usually pitch. The obvious use, letting the model decide who keeps access, is the wrong use. A certification decision is an attestation: a person signs a name and takes responsibility for that signature. A model cannot sign, and it cannot be responsible. Giving the model the decision creates an accountability problem and arguably voids the control, because the control is the human judgment itself. The narrower use is the better one, and the more valuable one: the model pulls together the evidence a reviewer needs for each item, states the evidence in plain language, and leaves the decision with the human.</w:t>
      </w:r>
    </w:p>
    <w:p>
      <w:r>
        <w:t>The published literature does not yet support that narrower use. Language models have been applied to access control decisions and to agent identity, and certification platforms run mature campaign mechanics, but no published research addresses LLM assistance for the governance workflow of access certification itself: the periodic human review of access granted long ago. The Foundations and Related Work section documents that gap source by source.</w:t>
      </w:r>
    </w:p>
    <w:p>
      <w:pPr>
        <w:pStyle w:val="Heading2"/>
      </w:pPr>
      <w:r>
        <w:t>1.3 Paper Contribution</w:t>
      </w:r>
    </w:p>
    <w:p>
      <w:r>
        <w:t>The paper addresses the gap with LLM-Assisted Access Certification (LAAC) and makes three contributions.</w:t>
      </w:r>
    </w:p>
    <w:p>
      <w:r>
        <w:t>(1) A survey of the relevant literature across certification platforms, LLM-based access control, agentic identity governance, and human-automation interaction, which identifies the gap precisely: the certification workflow itself has no published framework.</w:t>
      </w:r>
    </w:p>
    <w:p>
      <w:r>
        <w:t>(2) The LAAC framework: five design principles that keep decisional authority human, a five-component reference architecture, a reviewer workflow that leaves campaign mechanics unchanged, a theoretical grounding in information asymmetry and calibrated reliance, and safeguards against automation bias derived from established human-factors research.</w:t>
      </w:r>
    </w:p>
    <w:p>
      <w:r>
        <w:t>(3) A fully specified study design for evaluating the framework, with falsifiable hypotheses, five families of measures defined before data collection, and a within-subjects crossover protocol, offered as future work.</w:t>
      </w:r>
    </w:p>
    <w:p>
      <w:r>
        <w:t>The paper is conceptual. It proposes no new model, runs no experiments, and invents no data. No experiments have been run and no empirical results are reported. The purpose is narrower: a shared vocabulary for practitioners and researchers, and a first design that invites challenge, for bringing language models into certification campaigns without breaking the accountability those campaigns exist to create.</w:t>
      </w:r>
    </w:p>
    <w:p>
      <w:pPr>
        <w:pStyle w:val="Heading2"/>
      </w:pPr>
      <w:r>
        <w:t>1.4 Paper Structure</w:t>
      </w:r>
    </w:p>
    <w:p>
      <w:r>
        <w:t>The rest of the paper is organized as follows. Foundations and Related Work assembles the published literature and states the gap the framework answers. Problem Analysis defines the failure precisely, as four information failures. The framework section presents LAAC: its principles, its components and operating sequence, a worked scenario, its safeguards, and its theoretical grounding. The Evaluation section specifies a study design for testing decision quality and automation bias. Discussion draws out the implications for practice, states the limitations, and sets out the open challenges. The Conclusion closes with the lessons the proposal carries.</w:t>
      </w:r>
    </w:p>
    <w:p>
      <w:pPr>
        <w:pStyle w:val="Heading1"/>
      </w:pPr>
      <w:r>
        <w:t>2. Foundations and Related Work</w:t>
      </w:r>
    </w:p>
    <w:p>
      <w:r>
        <w:t>Four lines of published work surround the proposal, and none of them reaches the certification workflow. Platform documentation shows that campaign mechanics are mature while decision support is absent. Language-model research addresses the moment access is granted or denied, not the later review. Agentic identity governance establishes lifecycles for non-human identities without a certification ritual. Human-factors research explains why an assistant can deepen the failure it is meant to fix. Each line is taken in turn, and the section closes by stating the gap directly.</w:t>
      </w:r>
    </w:p>
    <w:p>
      <w:pPr>
        <w:pStyle w:val="Heading2"/>
      </w:pPr>
      <w:r>
        <w:t>2.1 Certification Campaigns Are Established but Weakly Supported</w:t>
      </w:r>
    </w:p>
    <w:p>
      <w:r>
        <w:t>Periodic review of access rights is a long-standing control: NIST SP 800-53 defines account management controls that include reviewing accounts for compliance with account management requirements [1]. Enterprises implement these reviews as certification campaigns inside identity governance platforms. SailPoint IdentityIQ, for example, provides certification types covering identities, roles, accounts, and entitlements, with reviewers attesting to each item and recording decisions such as approve, revoke, or allow exception [9]. Okta Identity Governance offers resource and identity campaigns in which designated reviewers certify access to applications, groups, and administrative roles [10]. The mechanics are mature. What the documentation does not solve is decision quality. The platform can route an item to the right reviewer. It cannot tell that reviewer what the item means. The reviewer still sees a bare list of technical names.</w:t>
      </w:r>
    </w:p>
    <w:p>
      <w:pPr>
        <w:pStyle w:val="Heading2"/>
      </w:pPr>
      <w:r>
        <w:t>2.2 Language Models Have Been Applied to Decisions, Not to Certification</w:t>
      </w:r>
    </w:p>
    <w:p>
      <w:r>
        <w:t>Researchers have begun applying language models to authorization problems. Zisad and Hasan introduced LLMAC, a framework in which a fine-tuned language model renders allow-or-deny decisions across RBAC, ABAC, and discretionary models, with explanations tracing back to policy clauses [3]. Jayaraman et al. proposed Permissioned LLMs, superimposing organizational access-control structures onto model outputs so that responses respect data-access boundaries [5]. Li et al. argued for reframing access control in LLM-based agent systems as dynamic information-flow governance rather than binary allow-or-deny [4]. These are serious contributions. But they all target the enforcement point: the moment access is granted or denied. None addresses the governance point: the periodic human review of access granted long ago. Enforcement and attestation are different problems, with different accountability requirements. The literature treats only the first.</w:t>
      </w:r>
    </w:p>
    <w:p>
      <w:pPr>
        <w:pStyle w:val="Heading2"/>
      </w:pPr>
      <w:r>
        <w:t>2.3 Agent Identity Governance Is Expanding Without a Certification Framework</w:t>
      </w:r>
    </w:p>
    <w:p>
      <w:r>
        <w:t>A second thread is about the agents themselves. The Coalition for Secure AI published a framework for agentic identity and access management, covering how agents are represented, authenticated, and governed [6]. The Cloud Security Alliance released guidance on non-human identities stressing lifecycle management and clear accountability for actions agents take on behalf of humans [7]. The OpenID Foundation’s whitepaper maps authentication and authorization challenges for agent-centric protocols [8]. Between them, these frameworks establish that agents need identities with lifecycles. What they say much less about is the recurring governance ritual that keeps any identity’s access honest over time: certification. As agent populations grow, someone will have to certify what agents can reach. The workflow for doing that does not yet exist in the literature.</w:t>
      </w:r>
    </w:p>
    <w:p>
      <w:pPr>
        <w:pStyle w:val="Heading2"/>
      </w:pPr>
      <w:r>
        <w:t>2.4 Automation Can Deepen the Rubber Stamp It Is Meant to Fix</w:t>
      </w:r>
    </w:p>
    <w:p>
      <w:r>
        <w:t>The danger with an LLM assistant is easy to picture: it does not fix the rubber stamp, it makes the rubber stamp faster. This failure mode has a name and a literature. Parasuraman and Riley’s classic analysis distinguishes misuse of automation (overreliance, where operators follow machine guidance uncritically) from disuse, where mistrust leads operators to ignore useful automation [2]. Their warning applies directly. A briefing tool that reviewers trust too much will produce attestations that look informed and are not. Any serious proposal for LLM-assisted review must design against misuse explicitly, not hope it away. The safeguards subsection of the framework returns to this.</w:t>
      </w:r>
    </w:p>
    <w:p>
      <w:pPr>
        <w:pStyle w:val="Heading2"/>
      </w:pPr>
      <w:r>
        <w:t>2.5 No Framework Connects Language Models to Human Attestation</w:t>
      </w:r>
    </w:p>
    <w:p>
      <w:r>
        <w:t>The literature can be summarized as follows. It covers how platforms run certification campaigns [9], [10], how LLMs can make access decisions [3]–[5], how agents should be identified and governed [6]–[8], and why humans overrely on automation [2]. What is missing is the intersection: a framework for using language models to improve the quality of human attestation in access certification campaigns. Practitioner blogs discuss the rubber-stamping problem at length, but no peer-reviewed paper proposes, analyzes, or evaluates LLM assistance for the certification workflow. That is the gap this paper addresses.</w:t>
      </w:r>
    </w:p>
    <w:p>
      <w:pPr>
        <w:pStyle w:val="Heading1"/>
      </w:pPr>
      <w:r>
        <w:t>3. Problem Analysis</w:t>
      </w:r>
    </w:p>
    <w:p>
      <w:r>
        <w:t>The failure requires precise definition, because “rubber-stamping” gets used loosely. In administered identity governance platforms, certification campaigns fail in four specific ways.</w:t>
      </w:r>
    </w:p>
    <w:p>
      <w:r>
        <w:t>The first failure is item-level context. A line item shows up reading something like “APP-FIN-AR-ADJ-02.” The reviewer, usually a people manager rather than a systems person, has no way of knowing what it grants, how sensitive it is, or what could go wrong if misused. The platform shows the name. The meaning lives in someone else’s head.</w:t>
      </w:r>
    </w:p>
    <w:p>
      <w:r>
        <w:t>The second failure is behavioral context. For most items, the most informative signal is a simple one: whether the user actually exercised the access in the last six months. That answer is usually absent from the review screen. The usage data exists in logs. Nobody joins it to the campaign.</w:t>
      </w:r>
    </w:p>
    <w:p>
      <w:r>
        <w:t>The third failure is comparative context. If everyone on a ten-person team holds an entitlement except one person, that is worth a question. If one person holds an entitlement nobody else on the team has, that is worth a harder one. Peer comparison is computable, and almost never shown.</w:t>
      </w:r>
    </w:p>
    <w:p>
      <w:r>
        <w:t>The fourth failure is weight. Three hundred items, all in the same font, all demanding the same binary decision, none of them marked as mattering more than the rest. Human attention is finite, so when nothing is prioritized, reviewers satisfice: they approve in bulk and move on. The campaign completes. The auditor sees 100% completion. Nothing was actually governed.</w:t>
      </w:r>
    </w:p>
    <w:p>
      <w:r>
        <w:t>Look at the four together and a pattern shows. Every one of them is an information problem, not a motivation problem. And information problems are exactly what language models are good at: gathering scattered signals, summarizing them, presenting them in readable form. The model does not need to decide anything. It needs to brief.</w:t>
      </w:r>
    </w:p>
    <w:p>
      <w:pPr>
        <w:pStyle w:val="Heading1"/>
      </w:pPr>
      <w:r>
        <w:t>4. The LLM-Assisted Access Certification Framework</w:t>
      </w:r>
    </w:p>
    <w:p>
      <w:r>
        <w:t>The proposed framework is LLM-Assisted Access Certification (LAAC): a language model prepares an evidence-backed briefing for every item in a certification campaign, and the human reviewer, whether manager, application owner, or role owner, makes and records every decision. The model’s output is advisory and attributable. The reviewer’s decision is authoritative and accountable.</w:t>
      </w:r>
    </w:p>
    <w:p>
      <w:pPr>
        <w:pStyle w:val="Heading2"/>
      </w:pPr>
      <w:r>
        <w:t>4.1 Five Principles Keep Authority Human and Evidence Traceable</w:t>
      </w:r>
    </w:p>
    <w:p>
      <w:r>
        <w:t>Five principles constrain the design. The principles are stated as rules, because in governance, vague values get ignored.</w:t>
      </w:r>
    </w:p>
    <w:p>
      <w:r>
        <w:t>P1: Decisional authority stays human. The decision belongs to the reviewer. The model only briefs.</w:t>
      </w:r>
    </w:p>
    <w:p>
      <w:r>
        <w:t>P2: Traceability. Every factual claim in a briefing must cite its source record: the entitlement catalog, the usage log, the HR feed, the peer set. No source, no claim shown.</w:t>
      </w:r>
    </w:p>
    <w:p>
      <w:r>
        <w:t>P3: Uncertainty is explicit. The model must state what it does not know. If usage data is missing for an application, the briefing says so plainly, instead of implying the access is unused. Absence of evidence is labeled, never smoothed over.</w:t>
      </w:r>
    </w:p>
    <w:p>
      <w:r>
        <w:t>P4: No recommendations, only questions. The briefing may suggest questions (“consider asking why…”) but never recommends approve or revoke. A recommendation anchors a reviewer. A question makes one think.</w:t>
      </w:r>
    </w:p>
    <w:p>
      <w:r>
        <w:t>P5: Auditable independence. The decision record must stand alone. An auditor reading the attestation a year later should be able to reconstruct what the reviewer saw and why the reviewer decided as they did, without access to the model.</w:t>
      </w:r>
    </w:p>
    <w:p>
      <w:pPr>
        <w:pStyle w:val="Heading2"/>
      </w:pPr>
      <w:r>
        <w:t>4.2 Five Components Separate Evidence, Briefing, and Decision</w:t>
      </w:r>
    </w:p>
    <w:p>
      <w:r>
        <w:t>The framework has five components. The components are described by function, not by product, so the design can be implemented against any identity governance platform.</w:t>
      </w:r>
    </w:p>
    <w:p>
      <w:r>
        <w:t>1. Evidence Collector: pulls in the raw material: identity attributes, entitlement definitions, grant history, usage and login telemetry, peer-group membership, prior certification decisions, and normalizes it into a per-item evidence bundle. It generates no language.</w:t>
      </w:r>
    </w:p>
    <w:p>
      <w:r>
        <w:t>2. Briefing Generator (LLM): takes one evidence bundle and turns it into a structured briefing: a plain-language description of what the entitlement grants, a usage summary, a peer comparison, and a short list of questions worth considering. Every sentence carries source pointers back to the evidence bundle.</w:t>
      </w:r>
    </w:p>
    <w:p>
      <w:r>
        <w:t>3. Risk Contextualizer: works out which risk signals the briefing should surface: dormant high-privilege access, toxic combinations, entitlements held by nobody else on the team, access granted outside the normal request process. The signals come from deterministic rules, not model judgments, which keeps them stable and testable.</w:t>
      </w:r>
    </w:p>
    <w:p>
      <w:r>
        <w:t>4. Decision Recorder: shows the briefing next to the approve/revoke control, and records the decision, the timestamp, and the reviewer’s free-text rationale when one is required. It also enforces campaign policy, such as requiring a comment on every revocation.</w:t>
      </w:r>
    </w:p>
    <w:p>
      <w:r>
        <w:t>5. Attestation Archive: holds the briefing snapshot, the evidence bundle references, and the decision together as one immutable attestation package. This is what the auditor reads.</w:t>
      </w:r>
    </w:p>
    <w:p>
      <w:r>
        <w:t>Figure 1 lays out the data flow. Evidence sources on the left feed the Evidence Collector, which normalizes per-item evidence bundles without any language generation. The Briefing Generator, the only component that uses a language model, turns one bundle into a structured briefing, guided by risk signals from the deterministic Risk Contextualizer. The Decision Recorder presents the briefing to the human reviewer and captures the decision and rationale, and the Attestation Archive stores the resulting package immutably. The reviewer can also challenge a briefing claim, which feeds corrections back into the evidence catalog.</w:t>
      </w:r>
    </w:p>
    <w:p>
      <w:r>
        <w:rPr>
          <w:b/>
        </w:rPr>
        <w:t>Figure 1. LAAC reference architecture. The blue components are deterministic: evidence gets collected, checked, and recorded there, and no language is generated. The amber component is the language model, and all it does is brief. The human reviewer, in green, makes every decision. Stored in the archive is the attestation package: the briefing snapshot, the evidence references, and the recorded decision. The dashed loop is reviewer challenges feeding back to improve the evidence catalog.</w:t>
      </w:r>
    </w:p>
    <w:p>
      <w:pPr>
        <w:jc w:val="center"/>
      </w:pPr>
      <w:r>
        <w:drawing>
          <wp:inline xmlns:a="http://schemas.openxmlformats.org/drawingml/2006/main" xmlns:pic="http://schemas.openxmlformats.org/drawingml/2006/picture">
            <wp:extent cx="5029200" cy="3218688"/>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5029200" cy="3218688"/>
                    </a:xfrm>
                    <a:prstGeom prst="rect"/>
                  </pic:spPr>
                </pic:pic>
              </a:graphicData>
            </a:graphic>
          </wp:inline>
        </w:drawing>
      </w:r>
    </w:p>
    <w:p>
      <w:pPr>
        <w:pStyle w:val="Heading2"/>
      </w:pPr>
      <w:r>
        <w:t>4.3 The Reviewer Sees Evidence Without Changing Campaign Mechanics</w:t>
      </w:r>
    </w:p>
    <w:p>
      <w:r>
        <w:t>The operating sequence is the order in which the components act on a single review item, from campaign routing to the archived attestation.</w:t>
      </w:r>
    </w:p>
    <w:p>
      <w:r>
        <w:t>For the reviewer, the experience changes even though the campaign mechanics underneath do not. Campaigns are scheduled and routed exactly as before, in the existing platform. When the reviewer opens an item, they now see three things: what the access is, in plain language; what the evidence says about its use and its fit with the user’s role and peers; and two or three questions to consider. Items the Risk Contextualizer flags appear first, so limited attention goes where it matters. The reviewer still clicks approve or revoke on every item. The click is now an informed one. At minimum, the reviewer can no longer claim they had no basis to know.</w:t>
      </w:r>
    </w:p>
    <w:p>
      <w:r>
        <w:t>Two details are worth calling out. First, each briefing is generated per item at review time, not pre-computed for the whole campaign, so it reflects the freshest evidence. Second, reviewers can challenge a briefing by flagging a claim as wrong. That feedback is logged, creating a correction loop that improves the evidence catalog itself. Most automation proposals miss that side benefit.</w:t>
      </w:r>
    </w:p>
    <w:p>
      <w:pPr>
        <w:pStyle w:val="Heading2"/>
      </w:pPr>
      <w:r>
        <w:t>4.4 A Worked Scenario: A Dormant Finance Entitlement Through Every Component</w:t>
      </w:r>
    </w:p>
    <w:p>
      <w:r>
        <w:t>A single synthetic example makes the briefing format concrete and shows each component acting in sequence. The example is invented for illustration only. It is not data, it comes from no system, and it supports no empirical claim.</w:t>
      </w:r>
    </w:p>
    <w:p>
      <w:r>
        <w:t>The Evidence Collector assembles the bundle for the item from the entitlement catalog, the usage log, the peer set, and the grant history. The Risk Contextualizer flags the bundle on deterministic rules. The Briefing Generator turns the bundle into the following briefing, with every claim pointed at its source record. The Decision Recorder then presents the briefing beside the approve and revoke controls, and the Attestation Archive stores the briefing snapshot, the evidence references, and the recorded decision as one package.</w:t>
      </w:r>
    </w:p>
    <w:p>
      <w:r>
        <w:t>Illustrative example (synthetic, not empirical data). Item: FIN-REPORT-ADJ-02, held by J. Rivera, senior accountant (fictitious). What it grants: the ability to post adjusting journal entries in the finance system, including to closed periods [source: entitlement catalog]. Usage: no logins to the finance module in the last 180 days [source: usage log]. Peers: 1 of 12 team members holds this entitlement [source: peer set]. Risk flags: dormant high-privilege access; granted outside the standard request process in 2023 [source: grant history]. Consider asking: did the project this access was granted for come to an end? Briefing confidence: medium. Usage telemetry is unavailable for the legacy reporting submodule, so absence of use there cannot be confirmed.</w:t>
      </w:r>
    </w:p>
    <w:p>
      <w:r>
        <w:t>A reviewer seeing this briefing knows what the item does, what the evidence says, and what remains unknown, in under a minute. Whether knowing it actually changes decisions is exactly what the evaluation protocol specified in the Evaluation section is designed to find out.</w:t>
      </w:r>
    </w:p>
    <w:p>
      <w:pPr>
        <w:pStyle w:val="Heading2"/>
      </w:pPr>
      <w:r>
        <w:t>4.5 Safeguards Raise the Cost of Deferring to the Briefing</w:t>
      </w:r>
    </w:p>
    <w:p>
      <w:r>
        <w:t>The central danger is misuse in Parasuraman and Riley’s sense [2]: reviewers deferring to the briefing instead of exercising judgment, producing attestations that look rigorous and are hollow underneath. The framework counters it in four ways.</w:t>
      </w:r>
    </w:p>
    <w:p>
      <w:r>
        <w:t>First, principle P4 forbids recommendations, and that is deliberate. A briefing that says “recommend revoke” turns the reviewer into a notary. One that says “this entitlement has not been used in 11 months and no one else on the team holds it. Consider asking whether the project ended” leaves the judgment where it belongs.</w:t>
      </w:r>
    </w:p>
    <w:p>
      <w:r>
        <w:t>Second, uncertainty goes on the surface, where the reviewer can see it. Items resting on thin evidence are marked as low-confidence briefings, which tells the reviewer to slow down, not speed up. That inverts how this usually goes wrong, because automation tends to be trusted most at exactly the moments it is least reliable.</w:t>
      </w:r>
    </w:p>
    <w:p>
      <w:r>
        <w:t>Third, bulk actions get friction. “Approve all” stays available. Removing it would only drive reviewers to click through items one by one. But bulk-approving flagged items requires opening each flagged briefing first. The cost of rubber-stamping rises precisely where it is most dangerous. This is a cognitive forcing function in the sense Buçinca and colleagues demonstrated: interventions that compel analytical engagement reduce overreliance on AI assistance, even though users rate them less favorably [15].</w:t>
      </w:r>
    </w:p>
    <w:p>
      <w:r>
        <w:t>Fourth, the Attestation Archive makes review quality observable after the fact. A reviewer who approves a flagged item in four seconds with no comment leaves that fact in the record, and governance teams can sample and follow up. Sunlight is a control too.</w:t>
      </w:r>
    </w:p>
    <w:p>
      <w:pPr>
        <w:pStyle w:val="Heading2"/>
      </w:pPr>
      <w:r>
        <w:t>4.6 Information Asymmetry and Calibrated Reliance Explain the Design</w:t>
      </w:r>
    </w:p>
    <w:p>
      <w:r>
        <w:t>Two ideas from outside identity management explain why the briefing arrangement should work. The first is information asymmetry. Akerlof showed that when buyers cannot judge quality, a market degrades: sellers of good cars withdraw, and trade collapses toward the worst offerings [11]. Certification has the same structure. The reviewer cannot distinguish appropriate access from inappropriate access, because the information that would allow the distinction is scattered across systems the reviewer never sees. The rational response to that asymmetry is uniform approval, which is exactly the rubber stamp. The briefing is a counteracting institution in Akerlof’s sense: it moves the missing information to the decision point, so the reviewer can discriminate again.</w:t>
      </w:r>
    </w:p>
    <w:p>
      <w:r>
        <w:t>The second idea is calibrated reliance. Lee and See argue that the goal is not trust in automation but appropriate reliance: trust matched to the automation’s actual capabilities, updated as evidence accumulates [13]. Principle P3 is a calibration mechanism. When a briefing marks itself low-confidence, it tells the reviewer to discount it, which keeps trust aligned with capability. Skitka and colleagues found the complementary result: making decision-makers accountable for accuracy reduced both errors of omission and errors of commission under automation [12]. Certification already carries that accountability in the signed attestation. LAAC keeps the signature where it belongs instead of diffusing it across a model.</w:t>
      </w:r>
    </w:p>
    <w:p>
      <w:r>
        <w:t>Onnasch and colleagues’ meta-analysis adds a boundary condition. Across eighteen experiments, higher degrees of automation improved routine performance but degraded performance when the automation failed and reduced situation awareness, with the sharpest costs appearing at the boundary between automation that supports information analysis and automation that selects actions [14]. LAAC is designed to stay on the safe side of that boundary. The model analyzes and briefs. It never selects the action. That placement is the theoretical reason the framework should improve attestation quality without producing the out-of-the-loop failures the literature warns about.</w:t>
      </w:r>
    </w:p>
    <w:p>
      <w:pPr>
        <w:pStyle w:val="Heading1"/>
      </w:pPr>
      <w:r>
        <w:t>5. Evaluation Must Test Decision Quality and Automation Bias</w:t>
      </w:r>
    </w:p>
    <w:p>
      <w:r>
        <w:t>Everything above is a proposal. No experiment has been run, no data has been collected, and this paper reports no empirical results. This section specifies a study design for testing whether LAAC works, in enough detail that the design could be pre-registered before any data collection. The design is the contribution here, not results.</w:t>
      </w:r>
    </w:p>
    <w:p>
      <w:pPr>
        <w:pStyle w:val="Heading2"/>
      </w:pPr>
      <w:r>
        <w:t>5.1 Three Questions Test Benefit and Bias Together</w:t>
      </w:r>
    </w:p>
    <w:p>
      <w:r>
        <w:t>Three questions organize the evaluation. First, do evidence-backed briefings improve reviewers’ ability to identify inappropriate access? Second, do the no-recommendations constraint (P4) and the forcing functions of the safeguards subsection keep automation bias in check, or do reviewers simply defer to fluent briefings? Third, how do briefings change reviewer effort and the calibration of reviewer confidence?</w:t>
      </w:r>
    </w:p>
    <w:p>
      <w:r>
        <w:t>The hypotheses that go with those questions are stated to be falsifiable. H1: reviewers with briefings revoke a higher proportion of genuinely inappropriate items than the same reviewers without briefings, without a drop in precision, measured against expert-labeled ground truth. H2: reviewers agree less often with deliberately flawed briefings when forcing functions are present than when they are absent. H3: reviewer confidence matches decision correctness more closely with briefings than without. Each hypothesis names its measure in the measures subsection before any data exists, so the analysis cannot be reshaped after the fact.</w:t>
      </w:r>
    </w:p>
    <w:p>
      <w:pPr>
        <w:pStyle w:val="Heading2"/>
      </w:pPr>
      <w:r>
        <w:t>5.2 Five Measure Families Define Success Before Data Collection</w:t>
      </w:r>
    </w:p>
    <w:p>
      <w:r>
        <w:t>Five families of measures, every one of them defined before data collection:</w:t>
      </w:r>
    </w:p>
    <w:p>
      <w:r>
        <w:t>Decision quality: revocation recall and precision against expert-labeled ground truth. Before the study begins, a panel of senior IAM practitioners labels each campaign item appropriate or inappropriate; the panel resolves its disagreements by discussion, and whatever disagreement remains gets reported, because it bounds the effect anyone can measure.</w:t>
      </w:r>
    </w:p>
    <w:p>
      <w:r>
        <w:t>Effort: Time per decision and total campaign time, to test whether better decisions come at a cost anyone would accept.</w:t>
      </w:r>
    </w:p>
    <w:p>
      <w:r>
        <w:t>Confidence calibration: Reviewer confidence per decision, set against correctness, to measure calibration rather than raw confidence.</w:t>
      </w:r>
    </w:p>
    <w:p>
      <w:r>
        <w:t>Automation-bias indicators: How often reviewers agree with adversarially flawed briefings, how often they bulk-approve flagged items, and how long they dwell on flagged items versus unflagged ones.</w:t>
      </w:r>
    </w:p>
    <w:p>
      <w:r>
        <w:t>Subjective experience: Perceived workload and usefulness, taken with a standard subjective workload instrument (e.g., NASA-TLX), to catch the designs that perform in the lab and then get refused by real reviewers.</w:t>
      </w:r>
    </w:p>
    <w:p>
      <w:pPr>
        <w:pStyle w:val="Heading2"/>
      </w:pPr>
      <w:r>
        <w:t>5.3 A Crossover Design Isolates the Effect of Briefings</w:t>
      </w:r>
    </w:p>
    <w:p>
      <w:r>
        <w:t>The design is a within-subjects crossover. Each reviewer completes two matched synthetic campaigns, one with briefings and one without, with order counterbalanced across reviewers and a washout interval between sessions to limit carryover. The within-subjects comparison matters because reviewers differ enormously in strictness, and those differences would otherwise dominate a between-subjects design.</w:t>
      </w:r>
    </w:p>
    <w:p>
      <w:r>
        <w:t>Participants would be practicing IAM reviewers: managers, application owners, and auditors with prior certification experience, recruited across organizations so the results do not reflect one shop’s habits. Materials would be a synthetic campaign dataset built from realistic but fictitious identities, roles, and entitlements, with usage telemetry simulated to be internally consistent. Ground-truth labels are set by the expert panel before any reviewer sees the data, and the labeling guide is published with the results.</w:t>
      </w:r>
    </w:p>
    <w:p>
      <w:r>
        <w:t>Commission errors need a direct measure, so a small subset of briefings would contain a factual error that contradicts the attached evidence bundle. Reviewers are not warned about the injection. Agreeing with a flawed briefing against visible evidence is the laboratory analogue of the faster rubber stamp, and it is the primary automation-bias outcome. The pre-specified primary outcome overall is recall on inappropriate items; all other measures are secondary.</w:t>
      </w:r>
    </w:p>
    <w:p>
      <w:pPr>
        <w:pStyle w:val="Heading2"/>
      </w:pPr>
      <w:r>
        <w:t>5.4 Validity Threats Bound What the Study Can Show</w:t>
      </w:r>
    </w:p>
    <w:p>
      <w:r>
        <w:t>The design has limits, and they should be stated before the study runs, not after:</w:t>
      </w:r>
    </w:p>
    <w:p>
      <w:r>
        <w:t>Ecological validity: synthetic data. Internally consistent, but not real. What shows up in the lab may not survive contact with messy production evidence.</w:t>
      </w:r>
    </w:p>
    <w:p>
      <w:r>
        <w:t>Ground-truth subjectivity: Expert ground truth is a judgment call in the end; disagreement among labelers bounds the effect any briefing can demonstrate.</w:t>
      </w:r>
    </w:p>
    <w:p>
      <w:r>
        <w:t>Hawthorne effects: Participants know they are being studied. Effort in the lab may run well above effort in a deadline-driven campaign.</w:t>
      </w:r>
    </w:p>
    <w:p>
      <w:r>
        <w:t>Model variance: A language model’s output varies from run to run; briefing quality is a distribution, not a constant, and the study measures one sampling of that distribution.</w:t>
      </w:r>
    </w:p>
    <w:p>
      <w:r>
        <w:t>Sampling: Recruiting across organizations is hard to pull off logistically; recruiting inside a single organization would be easier, and would limit how far the results generalize.</w:t>
      </w:r>
    </w:p>
    <w:p>
      <w:pPr>
        <w:pStyle w:val="Heading1"/>
      </w:pPr>
      <w:r>
        <w:t>6. Discussion</w:t>
      </w:r>
    </w:p>
    <w:p>
      <w:r>
        <w:t>The immediate implication for practice is that certification quality is a design property of the review screen, not a character trait of reviewers. Campaign mechanics, routing, and deadlines stay exactly as they are; the change sits at the decision point, where the briefing restores the contexts the Problem Analysis section found missing: what the entitlement means, whether it was used, and how it compares with peers. A platform that adopts the framework therefore does not ask reviewers to work harder across the whole campaign. Attention is redirected to the flagged minority of items, where judgment changes outcomes.</w:t>
      </w:r>
    </w:p>
    <w:p>
      <w:r>
        <w:t>A second implication concerns audit. Because the Attestation Archive stores the briefing snapshot beside the decision, attestation quality becomes observable after the fact: dwell time, comments on flagged approvals, and challenge rates can be sampled by governance teams. Certification evidence then shows not only that a campaign completed, but what each decision rested on. That is the difference between a control that produces a record and a control that produces assurance.</w:t>
      </w:r>
    </w:p>
    <w:p>
      <w:r>
        <w:t>A third implication is restraint as a feature. The framework refuses the two moves vendors find easiest to sell: automated decisions and approve-or-revoke recommendations. Both moves diffuse accountability, and accountability is the control. Procurement and governance reviews of LLM assistance in identity governance can use the five principles as acceptance tests: a tool that recommends, hides uncertainty, or cannot cite its sources fails the framework regardless of model quality.</w:t>
      </w:r>
    </w:p>
    <w:p>
      <w:pPr>
        <w:pStyle w:val="Heading2"/>
      </w:pPr>
      <w:r>
        <w:t>6.1 Limitations</w:t>
      </w:r>
    </w:p>
    <w:p>
      <w:r>
        <w:t>This is a conceptual proposal, and it deserves the skepticism that status earns. The hard problems below are acknowledged. None of them is solved.</w:t>
      </w:r>
    </w:p>
    <w:p>
      <w:r>
        <w:t>The evidence comes first, because the framework can be no better than it is. Many organizations cannot produce reliable usage telemetry for their applications, and entitlement catalogs are often stale or cryptic. A briefing built on bad data is worse than none, because it carries the model’s confident tone. Principle P3 mitigates this but does not eliminate it. Data hygiene remains a prerequisite.</w:t>
      </w:r>
    </w:p>
    <w:p>
      <w:r>
        <w:t>Language models hallucinate. Traceability (P2) constrains the damage, since every claim must point at a source record, but a pointer cannot guarantee the model read the record correctly. In a governance context even rare fabrications are serious: a wrongful revocation, or worse, a false sense of security. Any implementation needs a validation layer that checks generated claims against the evidence bundle mechanically, before a reviewer ever sees them.</w:t>
      </w:r>
    </w:p>
    <w:p>
      <w:r>
        <w:t>Privacy and confidentiality raise questions of their own. Briefings assemble identity, role, and usage data into readable narratives, and that concentrated view must be protected at least as carefully as the source systems. If the model is hosted externally, data minimization and contractual controls are non-negotiable.</w:t>
      </w:r>
    </w:p>
    <w:p>
      <w:r>
        <w:t>Finally, regulatory acceptance is unproven. Auditors accept human attestation today. Whether they will accept attestation informed by machine-generated briefings, and what evidence they will demand about the briefing pipeline, is an open question that only pilot deployments and auditor engagement can answer.</w:t>
      </w:r>
    </w:p>
    <w:p>
      <w:pPr>
        <w:pStyle w:val="Heading2"/>
      </w:pPr>
      <w:r>
        <w:t>6.2 Open Challenges and Future Work</w:t>
      </w:r>
    </w:p>
    <w:p>
      <w:r>
        <w:t>The next step that matters most is empirical. The Evaluation section specifies the study in enough detail to run it as written: a within-subjects comparison measuring revocation recall against expert-labeled ground truth, decision time, confidence calibration, and automation-bias indicators including agreement with adversarially flawed briefings. Running that study, and refining the ground-truth construction it depends on, is the research contribution waiting to happen.</w:t>
      </w:r>
    </w:p>
    <w:p>
      <w:r>
        <w:t>A second direction extends the framework to non-human identities. Agent populations are growing faster than any governance process can track [6], [7]. But certifying an agent raises questions this paper does not attempt to answer: who reviews, what counts as usage, what “peer” even means. The briefing concept transfers naturally. The accountability model does not, and that is where the research is.</w:t>
      </w:r>
    </w:p>
    <w:p>
      <w:r>
        <w:t>A third direction is continuous certification. If briefings can be generated on demand, the annual campaign no longer has to be the unit of work. Event-driven micro-reviews could take its place: a risk signal trips, a briefing fires, and the owner attests within days instead of months. Certification stops being a periodic ritual and becomes an ongoing control. Arguably what it should have been all along.</w:t>
      </w:r>
    </w:p>
    <w:p>
      <w:pPr>
        <w:pStyle w:val="Heading1"/>
      </w:pPr>
      <w:r>
        <w:t>7. Conclusion</w:t>
      </w:r>
    </w:p>
    <w:p>
      <w:r>
        <w:t>Access certification does not fail because reviewers do not care. It fails because reviewers are asked to decide with no evidence in front of them. Language models cannot supply the judgment that makes certification a control, and should not be asked to. What they can supply is the briefing: plain-language, evidence-backed context that turns a blind approve-all into a decision someone actually made. The LAAC framework keeps the human as the accountable decision-maker, uses the model for what it does best, and builds in explicit defenses against the automation bias that would otherwise turn a better tool into a faster rubber stamp.</w:t>
      </w:r>
    </w:p>
    <w:p>
      <w:r>
        <w:t>No published work addresses LLM assistance for the certification workflow. This paper stakes out that gap with a concrete, implementable proposal. The next move belongs to practitioners willing to pilot it, and to researchers willing to measure whether it actually works. The Evaluation section lays out the study to run first.</w:t>
      </w:r>
    </w:p>
    <w:p>
      <w:pPr>
        <w:pStyle w:val="Heading1"/>
      </w:pPr>
      <w:r>
        <w:t>Acknowledgments</w:t>
      </w:r>
    </w:p>
    <w:p>
      <w:r>
        <w:t>AI Disclosure: AI tools were used to assist in drafting and editing this paper. All claims, data, and conclusions were reviewed and verified by the author.</w:t>
      </w:r>
    </w:p>
    <w:p>
      <w:pPr>
        <w:pStyle w:val="Heading1"/>
      </w:pPr>
      <w:r>
        <w:t>References</w:t>
      </w:r>
    </w:p>
    <w:p>
      <w:r>
        <w:t>[1] National Institute of Standards and Technology, “Security and Privacy Controls for Information Systems and Organizations,” NIST Special Publication 800-53, Rev. 5, Sept. 2020.</w:t>
      </w:r>
    </w:p>
    <w:p>
      <w:r>
        <w:t>[2] R. Parasuraman and V. Riley, “Humans and automation: Use, misuse, disuse, abuse,” Human Factors, vol. 39, no. 2, pp. 230–253, 1997.</w:t>
      </w:r>
    </w:p>
    <w:p>
      <w:r>
        <w:t>[3] S. N. Zisad and R. Hasan, “LLMAC: A global and explainable access control framework with large language model,” arXiv:2602.09392, 2026. Accepted at IEEE Consumer Communications &amp; Networking Conference (CCNC) 2026.</w:t>
      </w:r>
    </w:p>
    <w:p>
      <w:r>
        <w:t>[4] X. Li et al., “A vision for access control in LLM-based agent systems,” arXiv:2510.11108, 2025.</w:t>
      </w:r>
    </w:p>
    <w:p>
      <w:r>
        <w:t>[5] B. Jayaraman et al., “Permissioned LLMs: Enforcing access control in large language models,” arXiv:2505.22860, 2025.</w:t>
      </w:r>
    </w:p>
    <w:p>
      <w:r>
        <w:t>[6] Coalition for Secure AI, “Agentic identity and access management,” approved by the CoSAI Technical Steering Committee, Mar. 20, 2026.</w:t>
      </w:r>
    </w:p>
    <w:p>
      <w:r>
        <w:t>[7] Cloud Security Alliance, “Defining non-human identity,” 2026.</w:t>
      </w:r>
    </w:p>
    <w:p>
      <w:r>
        <w:t>[8] T. South et al., “Identity management for agentic AI: The new frontier of authorization, authentication, and security for an AI agent world,” OpenID Foundation Whitepaper, arXiv:2510.25819, 2025.</w:t>
      </w:r>
    </w:p>
    <w:p>
      <w:r>
        <w:t>[9] SailPoint Technologies, “IdentityIQ certifications and access reviews,” IdentityIQ 8.2 product documentation, SailPoint Community. [Online]. Available: https://community.sailpoint.com/</w:t>
      </w:r>
    </w:p>
    <w:p>
      <w:r>
        <w:t>[10] Okta, Inc., “Campaigns,” Okta Identity Governance documentation, Okta Help Center. [Online]. Available: https://help.okta.com/</w:t>
      </w:r>
    </w:p>
    <w:p>
      <w:r>
        <w:t>[11] G. A. Akerlof, “The market for 'lemons': Quality uncertainty and the market mechanism,” The Quarterly Journal of Economics, vol. 84, no. 3, pp. 488–500, 1970.</w:t>
      </w:r>
    </w:p>
    <w:p>
      <w:r>
        <w:t>[12] L. J. Skitka, K. L. Mosier, and M. D. Burdick, “Does automation bias decision-making?,” Int. J. Human-Computer Studies, vol. 51, no. 5, pp. 991–1006, 1999.</w:t>
      </w:r>
    </w:p>
    <w:p>
      <w:r>
        <w:t>[13] J. D. Lee and K. A. See, “Trust in automation: Designing for appropriate reliance,” Human Factors, vol. 46, no. 1, pp. 50–80, 2004.</w:t>
      </w:r>
    </w:p>
    <w:p>
      <w:r>
        <w:t>[14] L. Onnasch, C. D. Wickens, H. Li, and D. Manzey, “Human performance consequences of stages and levels of automation: An integrated meta-analysis,” Human Factors, vol. 56, no. 3, pp. 476–488, 2014.</w:t>
      </w:r>
    </w:p>
    <w:p>
      <w:r>
        <w:t>[15] Z. Buçinca, M. B. Malaya, and K. Z. Gajos, “To Trust or to Think: Cognitive Forcing Functions Can Reduce Overreliance on AI in AI-assisted Decision-making,” Proc. ACM Hum.-Comput. Interact., vol. 5, no. CSCW1, Article 188, 2021.</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Rubber Stamp to Informed Attestation: A Framework for LLM-Assisted Access Certification in Identity Governance</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