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Segregation of Duties for AI Agents:</w:t>
      </w:r>
    </w:p>
    <w:p>
      <w:pPr>
        <w:jc w:val="center"/>
      </w:pPr>
      <w:r>
        <w:rPr>
          <w:b/>
          <w:sz w:val="32"/>
        </w:rPr>
        <w:t>Modeling and Enforcing Toxic Capability Combinations in Autonomous Tool Access</w:t>
      </w:r>
    </w:p>
    <w:p>
      <w:pPr>
        <w:jc w:val="center"/>
      </w:pPr>
      <w:r>
        <w:t>Prabin Shrestha</w:t>
      </w:r>
    </w:p>
    <w:p>
      <w:pPr>
        <w:jc w:val="center"/>
      </w:pPr>
      <w:r>
        <w:t>University of the Cumberlands</w:t>
      </w:r>
    </w:p>
    <w:p>
      <w:pPr>
        <w:jc w:val="center"/>
      </w:pPr>
      <w:r>
        <w:t>prabinshrestha903@gmail.com</w:t>
      </w:r>
    </w:p>
    <w:p>
      <w:pPr>
        <w:jc w:val="center"/>
      </w:pPr>
      <w:r>
        <w:t>September 28, 2026</w:t>
      </w:r>
    </w:p>
    <w:p/>
    <w:p>
      <w:pPr>
        <w:pStyle w:val="Heading1"/>
      </w:pPr>
      <w:r>
        <w:t>Abstract</w:t>
      </w:r>
    </w:p>
    <w:p>
      <w:r>
        <w:t>Segregation of duties (SoD) rests on a simple rule: no single subject should hold the mix of privileges that makes fraud, or a serious error, possible without collusion. Identity governance platforms enforce that rule as pairs of conflicting entitlements, checked when access is provisioned and again at certification. Every one of those checks assumes the subject is a person, and an autonomous AI agent breaks the assumption. The gap is precise. Conflict definitions cover standing grants, while the toxic combination in agent work emerges in the ordered sequence of tool calls inside a single task. Independence of maker and checker is assumed, while the operator who launches an agent often approves the agent's output as well. Evaluation runs identity by identity, while delegation splits a conflicting pair across an orchestrator and its sub-agents, so no single grant set shows the conflict. The paper answers the gap with SoDA, a conceptual policy model for agent tool access, built on a four-class conflict taxonomy covering capability-pair, sequence, delegation, and approval conflicts, and enforced at three points: provisioning-time prevention that reuses existing IGA SoD checks, runtime sequence enforcement at the tool gateway, and post-hoc trace review as the agent analog of certification. The contributions are (1) a gap analysis showing three specific breakdowns of classic SoD under agentic execution, (2) a four-class conflict taxonomy for agent capabilities, and (3) the SoDA policy model and three-point enforcement architecture, mapped onto controls and tooling that identity teams already run. The contribution is conceptual: a framework and a gap analysis, with no datasets, experiments, or measured results.</w:t>
      </w:r>
    </w:p>
    <w:p>
      <w:pPr>
        <w:pStyle w:val="Heading1"/>
      </w:pPr>
      <w:r>
        <w:t>Index Terms</w:t>
      </w:r>
    </w:p>
    <w:p>
      <w:r>
        <w:t>segregation of duties, SoD, AI agents, toxic combinations, access governance, least privilege.</w:t>
      </w:r>
    </w:p>
    <w:p>
      <w:pPr>
        <w:pStyle w:val="Heading1"/>
      </w:pPr>
      <w:r>
        <w:t>1. Introduction</w:t>
      </w:r>
    </w:p>
    <w:p>
      <w:pPr>
        <w:pStyle w:val="Heading2"/>
      </w:pPr>
      <w:r>
        <w:t>1.1 Research Problem</w:t>
      </w:r>
    </w:p>
    <w:p>
      <w:r>
        <w:t>Banks worked this out centuries ago. The clerk who writes the check does not get to sign it. That is segregation of duties at its plainest: fraud should take collusion, not one bad decision by one person. In a modern identity governance shop the same idea lives on as the SoD policy, a list of conflicting entitlement pairs that no single identity may hold at once. A team that has run SailPoint IdentityIQ or Identity Security Cloud knows the routine from the inside. The conflict is defined, and initiate-payment against approve-payment is the example everyone reaches for. The policy is checked when access is provisioned. Managers check it again, every quarter, when they certify access. Preventive when access is born, detective when access is reviewed. For a human workforce, the arrangement works.</w:t>
      </w:r>
    </w:p>
    <w:p>
      <w:r>
        <w:t>Then the workforce changed, and not at the edges. Companies are now handing real credentials to software that acts on its own: AI agents that read tickets, query databases, move money, change configurations, and call third-party services through standardized tool interfaces. Identity teams did not plan for this population, and the counts give that away. Industry surveys now report non-human identities outnumbering human ones by ratios as high as 75 to 1. A large share of organizations admit these identities sit outside their privileged-access policies [17]. Compromised or overprivileged non-human identities have become the most commonly cited initial access vector in identity-related incidents [18]. The agents are already here. The agents hold keys. The governance models were built for people.</w:t>
      </w:r>
    </w:p>
    <w:p>
      <w:pPr>
        <w:pStyle w:val="Heading2"/>
      </w:pPr>
      <w:r>
        <w:t>1.2 Research Gap</w:t>
      </w:r>
    </w:p>
    <w:p>
      <w:r>
        <w:t>The scope of the paper is deliberately narrow: segregation of duties, applied to AI agents. Agent identity in general, prompt injection, and certification campaigns fall outside the scope. Those topics have literatures of their own. The question addressed is a smaller one. What happens to the SoD control when the subject holding the conflicting privileges is an autonomous agent rather than a person? The short answer is that three assumptions classic SoD leans on give way at the same time: conflicts live in standing grants instead of action sequences, the checker is a different person from the maker, and each identity can be judged on its own. For agents, not one of those three holds. A targeted survey of the literature finds no published work that gives enterprise IAM teams a segregation-of-duties policy model for agent tool access, and no published work gives IAM practitioners a policy model that takes the difference between a human subject and an agent subject into account.</w:t>
      </w:r>
    </w:p>
    <w:p>
      <w:pPr>
        <w:pStyle w:val="Heading2"/>
      </w:pPr>
      <w:r>
        <w:t>1.3 Paper Contribution</w:t>
      </w:r>
    </w:p>
    <w:p>
      <w:r>
        <w:t>The paper does four things, stated as three contributions and one standing commitment to candor about limits. The gap analysis comes first, then the taxonomy that names the conflicts agents create, then the model and architecture that enforce against those conflicts. The account of where the model stops, and what work validation requires, runs through the Discussion and is part of the contribution rather than an afterthought. Everything in the paper is conceptual. No experiments were run, no datasets are used, and no performance claims are made. The contribution is a framework argued from first principles and grounded in the literature that already exists on both sides of the IAM and AI boundary. The contributions are: (1) a gap analysis that shows where classic SoD breaks under agentic execution, and why; (2) a four-class conflict taxonomy for agent capabilities, covering capability-pair, sequence, delegation, and approval conflicts; (3) SoDA, a conceptual policy model and three-point enforcement architecture mapped onto controls and tooling that identity teams already run.</w:t>
      </w:r>
    </w:p>
    <w:p>
      <w:pPr>
        <w:pStyle w:val="Heading2"/>
      </w:pPr>
      <w:r>
        <w:t>1.4 Paper Structure</w:t>
      </w:r>
    </w:p>
    <w:p>
      <w:r>
        <w:t>The Introduction states the research problem, the research gap, and the paper contribution. Foundations and Related Work assembles the classical SoD literature, the recent work on agent identity and tool access, and the places where SoD already appears in agent writing, and closes by restating the gap. Problem Analysis sets out the three breakdowns of classic SoD under agentic execution. The SoDA Framework presents the conflict taxonomy, the policy model, the three-point enforcement architecture, a worked scenario, and the mapping onto tooling identity teams already run. Discussion draws out the implications for practice, states the limitations, and names the open challenges. The Conclusion closes the paper.</w:t>
      </w:r>
    </w:p>
    <w:p>
      <w:pPr>
        <w:pStyle w:val="Heading1"/>
      </w:pPr>
      <w:r>
        <w:t>2. Foundations and Related Work</w:t>
      </w:r>
    </w:p>
    <w:p>
      <w:pPr>
        <w:pStyle w:val="Heading2"/>
      </w:pPr>
      <w:r>
        <w:t>2.1 Separation of Duties: From Banking Practice to RBAC</w:t>
      </w:r>
    </w:p>
    <w:p>
      <w:r>
        <w:t>SoD has been written about for decades, and the early papers remain the clearest. Nash and Poland posed the basic puzzle in 1990. Separation of duty is easy to say out loud and surprisingly hard to pin down, because a conflict depends on the task, on the objects in play, and on what the subject has already done [1]. A line was drawn between static SoD, where conflicts are defined over what a subject is allowed to hold, and dynamic SoD, where conflicts are defined over what a subject actually does. That line does most of the work in the present paper, because agents live almost entirely on the dynamic side of it. Simon and Zurko then brought SoD into role-based environments and added the piece most relevant here, history-based SoD: a subject may hold two permissions and still must not use both against the same object, or inside the same business process [2]. People were the subjects in that work. Even so, the history-based form is the closest classical ancestor of what agents need.</w:t>
      </w:r>
    </w:p>
    <w:p>
      <w:r>
        <w:t>Ferraiolo and Kuhn [3] and Sandhu et al. [4] gave SoD the machinery still in use in the RBAC models: mutually exclusive roles, static constraints on assignment, and dynamic constraints on activation within a session. Botha and Eloff carried the idea into workflow environments, where the thing to watch is no longer a standing role but a task instance on its way through a process, enforced by a workflow session that keeps track of which tasks a user has already performed [5]. Read today, that design sounds familiar. A modern AI agent is, among other things, a workflow that writes itself while it runs. Botha and Eloff had the right instinct with session-scoped enforcement. The difference is plain enough: those workflows were drawn up in advance, and the users were human.</w:t>
      </w:r>
    </w:p>
    <w:p>
      <w:r>
        <w:t>Compliance gives the control its teeth. NIST SP 800-53 Rev. 5 calls for separation of duties as control AC-5, and ISO/IEC 27001:2022 lists segregation of duties as Annex A control A.5.3 [6], [7]. On the ground, identity governance and administration (IGA) platforms run SoD as policies over conflicting entitlement pairs or mutually exclusive roles. The policy fires when a provisioning request would create a conflict, which is preventive, and again when reviewers attest to access during certification campaigns, which is detective. The question either check asks is a set-membership question: does this identity hold both sides of the pair? Both checks assume the answer stays put long enough to be examined on a human schedule, at request time and quarterly.</w:t>
      </w:r>
    </w:p>
    <w:p>
      <w:pPr>
        <w:pStyle w:val="Heading2"/>
      </w:pPr>
      <w:r>
        <w:t>2.2 Agent Identity, Tool Access, and Authorization Outside the Model</w:t>
      </w:r>
    </w:p>
    <w:p>
      <w:r>
        <w:t>The other half of the background is newer, roughly three years of work on agent security. The Model Context Protocol (MCP), introduced in late 2024, standardized the way agents find and invoke tools: a JSON-RPC interface by which a host application exposes tools, resources, and prompts on servers the agent can call [16]. MCP matters here for a practical reason. MCP defines the surface where SoD has to be enforced. A tool call is the agent version of using an entitlement, and the gateway sitting in front of the tool server is the natural place to enforce policy.</w:t>
      </w:r>
    </w:p>
    <w:p>
      <w:r>
        <w:t>Two findings from that literature shaped the design that follows. The first comes from Greshake et al. Indirect prompt injection, instructions planted in content the agent retrieves rather than in the user prompt, compromises real LLM-integrated applications [8]. Put plainly, an authorization decision that lives inside the model reasoning can be talked out of itself. Authorization for agents therefore has to sit outside the model, in deterministic code. The second finding is a label. The OWASP Top 10 for LLM Applications (2025) names Excessive Agency, handing the model too many capabilities, permissions, or autonomy, as a top-tier risk, and calls out tool-calling agents that act without validation by name [9]. Seen from the IAM side, SoD for agents is the disciplined reply to excessive agency. The reply is not fewer tools across the board. The reply is rules, thought through in advance, about which combinations of tools one agent may exercise.</w:t>
      </w:r>
    </w:p>
    <w:p>
      <w:r>
        <w:t>The governance scaffolding is present, but the scaffolding stays at framework level. The Cloud Security Alliance MAESTRO threat-modeling framework breaks agentic systems into seven layers and treats access control and policy enforcement as a concern that cuts across them [12]. The NIST AI Risk Management Framework sorts AI governance into govern, map, measure, and manage, and prescribes no access-control mechanics at all [13]. Neither document tells an IAM team what an SoD policy for an agent should look like. Enforcement work points in a more useful direction. Kodathala's aiAuthZ takes the authorization decision off the agent host and puts the decision in a gateway that verifies caller identity on each message and evaluates policy the agent can neither read nor modify [14]. That gateway is just the kind of enforcement point a runtime SoD check needs. Dantuluri and Sundi, in a gap analysis of multi-agent delegation, argue for an untrusted-model assumption, under which even a fully prompt-injected agent must be unable to exceed delegated authority, and document that mainstream agent frameworks provide little to no confinement for sub-agents [15]. One of the conflict classes in the present paper lives in those delegation chains. None of this is theoretical worry. Industry analyses describe a governance vacuum around non-human identities, one that agentic AI has turned from manageable debt into an active liability [17], and non-human identity misuse now sits among the most reported types of identity-based incident [18].</w:t>
      </w:r>
    </w:p>
    <w:p>
      <w:pPr>
        <w:pStyle w:val="Heading2"/>
      </w:pPr>
      <w:r>
        <w:t>2.3 SoD Mentions in Agent Literature</w:t>
      </w:r>
    </w:p>
    <w:p>
      <w:r>
        <w:t>Separation of duties does show up in writing about agent security. The concept shows up at a level other than IAM policy. Beurer-Kellner et al. list separation of duties as a design pattern for securing LLM agents: action selection, what the model proposes, stays apart from execution, what deterministic code actually carries out [10]. As a runtime pattern the design is sound, and the design helps against prompt injection. The design is not a policy an IAM team can write, approve, and audit. Prifti formalizes SoD for the AI software-development lifecycle, where the conflict sits between the model that generates an artifact and the model that reviews the artifact [11]. That conflict is a problem at the human-agent boundary, not a tool-access problem. Practitioner pattern catalogs go a step further and sketch risk-tiered action autonomy with maker-checker rules for agents. At least one protocol proposal even proves a structural SoD theorem for agent definitions kept in version control. These contributions deserve serious consideration. The contributions are still patterns, demos, and protocol specs. None of the contributions is enterprise IAM.</w:t>
      </w:r>
    </w:p>
    <w:p>
      <w:r>
        <w:t>What is missing is the treatment an IAM practitioner would recognize: a conflict model written in the words identity teams use every day, policies, conflicting pairs, preventive and detective enforcement, certification analogs, and then stretched to cover what agents actually do. The literature was searched in a targeted way: 'segregation of duties' and 'separation of duties' were combined with 'AI agents,' 'agentic AI,' and 'tool access' as keywords, and site-restricted searches over arXiv were run as well. No published paper surfaced that defines SoD policies for autonomous agent tool access or proposes an enforcement architecture for them. The work nearby either stays at the design-pattern level or takes up neighboring conflicts, generation against review, selection against execution. Nobody has claimed the policy layer for agents. The present paper fills that gap, conceptually.</w:t>
      </w:r>
    </w:p>
    <w:p>
      <w:pPr>
        <w:pStyle w:val="Heading1"/>
      </w:pPr>
      <w:r>
        <w:t>3. Problem Analysis</w:t>
      </w:r>
    </w:p>
    <w:p>
      <w:r>
        <w:t>A classic SoD policy assumes three things about the subject of the policy. For a workforce of people, each assumption is fair. For agents, each one fails, and each failure is specific enough to design against. This section is the analytical core of the paper. The scenarios in this section are illustrative. The scenarios are simplified composites of common enterprise agent deployments, not incident reports.</w:t>
      </w:r>
    </w:p>
    <w:p>
      <w:pPr>
        <w:pStyle w:val="Heading2"/>
      </w:pPr>
      <w:r>
        <w:t>3.1 Breakdown 1: Conflicts Live in Sequences, Not in Standing Grants</w:t>
      </w:r>
    </w:p>
    <w:p>
      <w:r>
        <w:t>Every SoD check in an IGA platform asks whether a set contains something: does this identity hold both sides of a conflicting pair? For an agent, the dangerous combination seldom sits in the grant set at all. The combination turns up in the ordered run of tool calls inside one task. Consider an agent with two capabilities that look unremarkable on their own, query_customer_records and send_email. No SoD policy at provisioning time flags that pair, and thousands of legitimate workflows need both. The conflict shows itself only when the agent, in the course of one task, reads sensitive records and then sends the records to an external address. The same two grants used in another order, or spread across different tasks, read records for an internal report in one task and send an unrelated status email in another, produce nothing wrong. A set-membership check cannot tell those cases apart. The facts that separate the cases, order, arguments, and task scope, are not in the set. A grant list states what an agent is allowed to touch; the grant list states nothing about the order in which the agent touched things, and order is where the trouble lives.</w:t>
      </w:r>
    </w:p>
    <w:p>
      <w:r>
        <w:t>Simon and Zurko met the human version of this problem in 1997 and named the human version history-based SoD [2]. The conflict hangs on what the subject has already done, not only on what the subject is allowed to do. When the subjects were people, history-based conflicts were the edge case. With agents, history-based conflicts are the usual case, because chaining tools together in sequences nobody listed beforehand is the whole job. An SoD model for agents that stops at standing grants inspects the wrong artifact. Such a model audits the menu while the agent orders the meal.</w:t>
      </w:r>
    </w:p>
    <w:p>
      <w:pPr>
        <w:pStyle w:val="Heading2"/>
      </w:pPr>
      <w:r>
        <w:t>3.2 Breakdown 2: Maker-Checker Collapse</w:t>
      </w:r>
    </w:p>
    <w:p>
      <w:r>
        <w:t>The fraud logic behind SoD needs two separate parties, a maker who starts something and a checker who approves the thing started. In current agent deployments the checker is, quite often, the same operator who launched the agent. The person who typed 'pay the overdue invoices' then taps 'approve' on the payment batch that comes back, and does so without going over line items the agent has already summarized. Four eyes on paper. In practice, one pair did the work and the other pair skimmed the agent summary. Push the setup toward full autonomy and no human checker sits in the loop at all. An orchestrator proposes and a sub-agent 'reviews,' or one agent drafts and submits the same piece of work. Classic SoD policy has no way to state that the approver must be independent of the initiator when the initiator is software and the approver is the operator who runs the software. The conflict here is not two entitlements sitting in one identity. The conflict is two roles in a workflow, played by parties who are not independent of each other.</w:t>
      </w:r>
    </w:p>
    <w:p>
      <w:pPr>
        <w:pStyle w:val="Heading2"/>
      </w:pPr>
      <w:r>
        <w:t>3.3 Breakdown 3: Delegation Splits the Conflict Across Identities</w:t>
      </w:r>
    </w:p>
    <w:p>
      <w:r>
        <w:t>A standard SoD check looks at one identity at a time. Delegation is how agents get around that check. An orchestrator holds capability A. The orchestrator spawns a sub-agent that holds capability B. The toxic combination A+B gets exercised across the chain, while each identity, examined on its own, passes every policy put to the identity. Neither grant set holds the conflict. The workflow, taken whole, realizes the conflict anyway. Dantuluri and Sundi show that this setup is no contrived case. Mainstream frameworks (LangGraph, CrewAI, AutoGen, MCP-based designs) hand sub-agents broad authority taken from the parent and confine that authority poorly [15]. A SoD model blind to delegation chains checks the passengers one by one while the smuggling happens in the convoy.</w:t>
      </w:r>
    </w:p>
    <w:p>
      <w:pPr>
        <w:pStyle w:val="Heading1"/>
      </w:pPr>
      <w:r>
        <w:t>4. The SoDA Framework</w:t>
      </w:r>
    </w:p>
    <w:p>
      <w:r>
        <w:t>SoDA (Segregation of Duties for Agents) is a conceptual policy model, with an enforcement architecture, derived directly from the three breakdowns set out in Problem Analysis. The parts of classic SoD that still work are retained. The policy language is extended, so the language can talk about sequences and delegation. Enforcement sits where agent actions can actually be seen. None of this asks for new cryptography or new protocols. The requirement is to point existing control concepts at the right artifacts.</w:t>
      </w:r>
    </w:p>
    <w:p>
      <w:pPr>
        <w:pStyle w:val="Heading2"/>
      </w:pPr>
      <w:r>
        <w:t>4.1 A Conflict Taxonomy for Agent Capabilities</w:t>
      </w:r>
    </w:p>
    <w:p>
      <w:r>
        <w:t>A SoD policy stands or falls on the conflict catalog behind the policy. For agents, conflicts fall into four classes. The first class comes straight over from classic SoD. The other three classes are present because of the breakdowns in Section 3.</w:t>
      </w:r>
    </w:p>
    <w:p>
      <w:r>
        <w:rPr>
          <w:b/>
        </w:rPr>
        <w:t>Capability-pair conflicts (static).</w:t>
      </w:r>
      <w:r>
        <w:t xml:space="preserve"> Two capabilities that a single agent identity must never hold together, no matter how the capabilities would be used. Example: initiate_payment and approve_payment granted to the same agent identity. This class is the classic conflicting-pair policy, and IAM teams can enforce this class with machinery already owned, at provisioning time, against the agent grant set.</w:t>
      </w:r>
    </w:p>
    <w:p>
      <w:r>
        <w:rPr>
          <w:b/>
        </w:rPr>
        <w:t>Sequence conflicts (dynamic).</w:t>
      </w:r>
      <w:r>
        <w:t xml:space="preserve"> Capabilities that are benign on their own and benign in most orders, yet toxic in one ordered combination inside a task scope. Example: query_sensitive_records followed by transmit_external within one task. Order matters here, and so do the arguments, what data and what destination, and the boundaries of the task. All three belong in the definition of the conflict. This class is history-based SoD [2] made first-class.</w:t>
      </w:r>
    </w:p>
    <w:p>
      <w:r>
        <w:rPr>
          <w:b/>
        </w:rPr>
        <w:t>Delegation conflicts.</w:t>
      </w:r>
      <w:r>
        <w:t xml:space="preserve"> A conflicting pair divided across a delegation chain. The parent holds one side and the sub-agent holds the other, or a sub-agent inherits an attenuated combination that rebuilds the conflict. Evaluation in this class means evaluation of the chain. A single identity will not show the problem.</w:t>
      </w:r>
    </w:p>
    <w:p>
      <w:r>
        <w:rPr>
          <w:b/>
        </w:rPr>
        <w:t>Approval conflicts.</w:t>
      </w:r>
      <w:r>
        <w:t xml:space="preserve"> The checker is not independent of the maker. The same operator approves what the operator's own agent started, or an agent approves a proposal from the agent's own sub-agent. Policy in this class constrains the approval relationship itself, not just the grant set. The approver has to be a distinct, qualified principal, with no stake in the initiation.</w:t>
      </w:r>
    </w:p>
    <w:p>
      <w:r>
        <w:t>The taxonomy is deliberately small. IAM teams already drown in policy frameworks with forty categories. Four classes, each mapping cleanly onto an enforcement point, will get more use than a complete ontology that nobody can operate.</w:t>
      </w:r>
    </w:p>
    <w:p>
      <w:pPr>
        <w:pStyle w:val="Heading2"/>
      </w:pPr>
      <w:r>
        <w:t>4.2 The Policy Model</w:t>
      </w:r>
    </w:p>
    <w:p>
      <w:r>
        <w:t>A classic SoD policy can be written as a set of conflicting entitlement pairs, plus a scope that states which identities and which systems the policy covers. A SoDA rule takes that form and adds the dimensions agents require. Stated plainly, a rule states the following: these capabilities, under these argument constraints, in this order (or this combination), within this task or delegation scope, make a conflict, and the rule states what happens when a conflict is detected. Two sketches show the shape of a SoDA rule:</w:t>
      </w:r>
    </w:p>
    <w:p>
      <w:r>
        <w:rPr>
          <w:b/>
        </w:rPr>
        <w:t>SEQUENCE RULE:</w:t>
      </w:r>
      <w:r>
        <w:t xml:space="preserve"> query_sensitive_records(</w:t>
      </w:r>
      <w:r>
        <w:rPr>
          <w:i/>
        </w:rPr>
        <w:t>, classification=restricted) FOLLOWED-BY transmit_external(</w:t>
      </w:r>
      <w:r>
        <w:t>) WITHIN task T gives a conflict. Reading restricted records is acceptable. Sending anything to an external destination is acceptable. Doing the second after the first, inside the same task, is not acceptable.</w:t>
      </w:r>
    </w:p>
    <w:p>
      <w:r>
        <w:rPr>
          <w:b/>
        </w:rPr>
        <w:t>DELEGATION RULE:</w:t>
      </w:r>
      <w:r>
        <w:t xml:space="preserve"> capabilities {initiate_payment} held by identity X AND capabilities {approve_payment} held by any identity in the delegation subtree of X give a conflict. On its own, neither identity breaks a static check. The chain breaks the check.</w:t>
      </w:r>
    </w:p>
    <w:p>
      <w:r>
        <w:t>IAM and security staff author these rules, version the rules, and review the rules, in the way staff handle any other access policy. The agent does not write the rules. The model never rewrites the rules at runtime. A policy the agent can rewrite is not a policy, and the off-model authorization literature is firm on that point [8], [14]. Static rules, the capability-pair kind, run wherever grants are assembled. Dynamic rules, sequence, delegation, and approval, run where calls can be watched: at the tool gateway, which has the task call history and the delegation chain in front of the gateway.</w:t>
      </w:r>
    </w:p>
    <w:p>
      <w:pPr>
        <w:pStyle w:val="Heading2"/>
      </w:pPr>
      <w:r>
        <w:t>4.3 Enforcement Architecture: Three Points, Not One</w:t>
      </w:r>
    </w:p>
    <w:p>
      <w:r>
        <w:t>Classic SoD enforces at two points, provisioning, where enforcement is preventive, and certification, where enforcement is detective. SoDA keeps both points and adds the one agents make necessary, runtime enforcement at the tool gateway, because the gateway is where sequences actually happen. The three points follow.</w:t>
      </w:r>
    </w:p>
    <w:p>
      <w:r>
        <w:rPr>
          <w:b/>
        </w:rPr>
        <w:t>1. Provisioning-time prevention.</w:t>
      </w:r>
      <w:r>
        <w:t xml:space="preserve"> When the tool-grant set for an agent identity is put together, at deployment or when a Just-In-Time grant is issued, the grant set is tested for capability-pair conflicts in exactly the way an IGA SoD policy check runs today. The existing controls get reused, and the crudest violations get caught before the agent runs at all.</w:t>
      </w:r>
    </w:p>
    <w:p>
      <w:r>
        <w:rPr>
          <w:b/>
        </w:rPr>
        <w:t>2. Runtime sequence enforcement.</w:t>
      </w:r>
      <w:r>
        <w:t xml:space="preserve"> At the tool gateway, the MCP gateway or an off-host authorization gateway in the style of [14], a policy enforcement point tests each consequential tool call against the dynamic rules, with the task call history and the delegation chain as context. The responses come in grades: deny the call, hold the call for independent human approval, or let the call through with enhanced logging. Auditors already speak this language: preventive, detective, corrective.</w:t>
      </w:r>
    </w:p>
    <w:p>
      <w:r>
        <w:rPr>
          <w:b/>
        </w:rPr>
        <w:t>3. Post-hoc trace review.</w:t>
      </w:r>
      <w:r>
        <w:t xml:space="preserve"> This point is the agent version of a certification campaign. Recorded tool-call traces are matched against conflict patterns on a risk-sampled schedule, and the findings feed grant revocation and rule tuning. Quarterly attestation made sense in a world where access stayed stable for quarters. Agent behavior does not stay stable for quarters, so trace review runs close to the event.</w:t>
      </w:r>
    </w:p>
    <w:p>
      <w:r>
        <w:t>Figure 1 sketches how the pieces fit. One policy store feeds all three enforcement points. The provisioning check guards the grant set, the runtime gateway guards the call sequence, and trace review closes the loop back into policy. Detection with no response attached is just logging, so every point carries responses (deny, quarantine the task, require independent approval, revoke the grant, open a review case), instead of leaving the call to whoever happens to read the alert.</w:t>
      </w:r>
    </w:p>
    <w:p>
      <w:r>
        <w:rPr>
          <w:b/>
        </w:rPr>
        <w:t>Figure 1. SoDA enforcement architecture: one IAM-administered policy store feeding three enforcement points, with trace-review findings tuning the rules.</w:t>
      </w:r>
    </w:p>
    <w:p>
      <w:pPr>
        <w:jc w:val="center"/>
      </w:pPr>
      <w:r>
        <w:drawing>
          <wp:inline xmlns:a="http://schemas.openxmlformats.org/drawingml/2006/main" xmlns:pic="http://schemas.openxmlformats.org/drawingml/2006/picture">
            <wp:extent cx="5029200" cy="2112264"/>
            <wp:docPr id="1" name="Picture 1"/>
            <wp:cNvGraphicFramePr>
              <a:graphicFrameLocks noChangeAspect="1"/>
            </wp:cNvGraphicFramePr>
            <a:graphic>
              <a:graphicData uri="http://schemas.openxmlformats.org/drawingml/2006/picture">
                <pic:pic>
                  <pic:nvPicPr>
                    <pic:cNvPr id="0" name="image1.png"/>
                    <pic:cNvPicPr/>
                  </pic:nvPicPr>
                  <pic:blipFill>
                    <a:blip r:embed="rId9"/>
                    <a:stretch>
                      <a:fillRect/>
                    </a:stretch>
                  </pic:blipFill>
                  <pic:spPr>
                    <a:xfrm>
                      <a:off x="0" y="0"/>
                      <a:ext cx="5029200" cy="2112264"/>
                    </a:xfrm>
                    <a:prstGeom prst="rect"/>
                  </pic:spPr>
                </pic:pic>
              </a:graphicData>
            </a:graphic>
          </wp:inline>
        </w:drawing>
      </w:r>
    </w:p>
    <w:p>
      <w:pPr>
        <w:pStyle w:val="Heading2"/>
      </w:pPr>
      <w:r>
        <w:t>4.4 Worked Scenario: Restricted Records, an External Send, and a Split Approval</w:t>
      </w:r>
    </w:p>
    <w:p>
      <w:r>
        <w:t>A single scenario walks the taxonomy, the policy model, and the three enforcement points in order. The scenario combines two deployments already used in Problem Analysis: a records agent that reads customer data and sends mail, and a payments workflow split across an orchestrator and a sub-agent.</w:t>
      </w:r>
    </w:p>
    <w:p>
      <w:r>
        <w:t>At provisioning time, the records agent receives query_customer_records and send_email. The capability-pair check runs against the grant set and finds no conflict: thousands of legitimate workflows need both capabilities, and no static rule forbids the pair. The payments orchestrator receives initiate_payment, and the sub-agent receives approve_payment. Each grant set, examined alone, passes the same check. Provisioning-time prevention has done the work provisioning can do, and the toxic combinations remain open, because neither combination lives in a single grant set.</w:t>
      </w:r>
    </w:p>
    <w:p>
      <w:r>
        <w:t>At runtime, the records agent starts a task, queries records that carry a restricted classification, and then calls the external send capability inside the same task. The gateway holds the task call history, so the gateway sees the order, the classification argument, and the external destination together. The SEQUENCE RULE matches: query_sensitive_records with classification=restricted, followed by transmit_external within the same task. The gateway denies the call or holds the call for independent human approval, and the trace records the attempt either way. The same two capabilities in a different order, or split across two tasks with no shared scope, match no rule and proceed.</w:t>
      </w:r>
    </w:p>
    <w:p>
      <w:r>
        <w:t>The payments workflow reaches the gateway as a delegation chain rather than as one identity. The orchestrator initiates a payment, and the sub-agent in the delegation subtree of the orchestrator moves to approve the payment. The DELEGATION RULE matches, because the evaluation covers the chain: initiate_payment held by the parent and approve_payment held inside the subtree of the parent form the conflict that neither identity shows alone. If the operator who launched the orchestrator then steps in to approve the batch the operator's own agent started, the approval conflict applies as well: policy requires a distinct, qualified approver with no stake in the initiation, so the approval routes to an independent principal.</w:t>
      </w:r>
    </w:p>
    <w:p>
      <w:r>
        <w:t>Post-hoc trace review closes the scenario. The recorded traces, including the denied send and the blocked approval, are matched against the conflict patterns on a risk-sampled schedule. Repeated matches against the same grant set feed grant revocation and rule tuning: a sequence rule that fires on legitimate work returns to detective mode for revision, and a grant set that keeps rebuilding a delegation conflict loses the grant that completes the pair. Every component of the framework has acted in the scenario: the taxonomy named the conflicts, the policy model expressed the conflicts as rules, and the three enforcement points caught, graded, and learned from the conflicts in order. Figure 1 shows the same loop the scenario walks: one policy store, three enforcement points, and findings returning as revised rules.</w:t>
      </w:r>
    </w:p>
    <w:p>
      <w:pPr>
        <w:pStyle w:val="Heading2"/>
      </w:pPr>
      <w:r>
        <w:t>4.5 Mapping to What IAM Teams Already Run</w:t>
      </w:r>
    </w:p>
    <w:p>
      <w:r>
        <w:t>SoD has lasted as long as SoD has lasted partly because SoD fits processes people already run. SoDA is designed to fit the same way. Capability-pair checks map straight onto SoD policies in IGA suites such as SailPoint IdentityIQ and Identity Security Cloud. The mapping keeps the same policy objects and the same evaluation at provisioning time. 'Agent identity' becomes one more identity type, and 'tool grant' becomes one more entitlement type. Approval-conflict rules map onto the maker-checker workflow controls teams already have, with one addition, a requirement that operator and agent be independent. The genuinely new piece is the runtime gateway evaluation of sequence and delegation rules. No IGA product does that evaluation today, for a simple reason: no IGA product sees tool-call sequences. That gap is an integration point, not a rip-and-replace program. The gateway reads the same policy store the IGA suite administers, and gateway findings land in the same review queues. Teams meet the framework where teams already work, and only one new piece of machinery is named.</w:t>
      </w:r>
    </w:p>
    <w:p>
      <w:pPr>
        <w:pStyle w:val="Heading1"/>
      </w:pPr>
      <w:r>
        <w:t>5. Discussion</w:t>
      </w:r>
    </w:p>
    <w:p>
      <w:r>
        <w:t>The practical consequence of the SoDA design is restraint about new machinery. Identity teams already administer SoD policies, already run maker-checker workflow controls, and already operate certification and review queues. SoDA asks those teams to extend the policy language to sequences and delegation chains, to treat the agent as one more identity type and the tool grant as one more entitlement type, and to add a single new enforcement surface, the tool gateway, reading the same policy store. The graduated responses at the gateway give auditors and operators a shared language for the new surface: deny where a conflict is crisp, hold for independent approval where a conflict is material but ambiguous, and log with enhanced detail where a pattern is only worth watching. A framework that fits the processes already in place stands a chance of being operated; a framework that demands a parallel governance stack does not.</w:t>
      </w:r>
    </w:p>
    <w:p>
      <w:pPr>
        <w:pStyle w:val="Heading2"/>
      </w:pPr>
      <w:r>
        <w:t>5.1 Limitations</w:t>
      </w:r>
    </w:p>
    <w:p>
      <w:r>
        <w:t>A framework earns trust by stating what the framework cannot do. SoDA has five limits, stated here in full. Each limit is also the next piece of work, taken up in the open challenges that follow.</w:t>
      </w:r>
    </w:p>
    <w:p>
      <w:r>
        <w:t>First, the cold-start problem. A conflict catalog is only as good as the contents of the catalog, and sequence conflicts are harder to list than static pairs. The cold-start problem is Nash and Poland's conundrum, restated with agents in the subject position [1]: the conflict depends on task context, and no policy author sees all of that context in advance.</w:t>
      </w:r>
    </w:p>
    <w:p>
      <w:r>
        <w:t>Second, the autonomy tax. A check placed at runtime puts friction in the run, and a sequence rule drawn too wide turns a costly autonomous agent into a costly chatbot that asks permission for everything the agent does. The graduated responses in Section 4.3 exist for exactly this reason: deny where the conflict is crisp, hold for independent approval where the conflict is material but ambiguous, and log where the pattern is only worth watching.</w:t>
      </w:r>
    </w:p>
    <w:p>
      <w:r>
        <w:t>Third, evasion. A toxic sequence split across two tasks escapes a task-scoped sequence rule. Two agents coordinating through shared state, with no formal delegation link between the agents, escape a delegation rule as well. As defined here, SoDA sees single tasks and explicit delegation chains. The blind spot is named directly rather than treated as covered.</w:t>
      </w:r>
    </w:p>
    <w:p>
      <w:r>
        <w:t>Fourth, latency and availability. Testing each consequential tool call at a gateway adds latency, and adds a new place for failure. Whether the gateway fails closed or fails open is a decision with real operational weight: a fail-closed gateway that goes down takes the business process guarded by the gateway down as well. The cost side is not as heavy as the cost side first looks, and gateway authorization for agents is not speculative overhead. Kodathala's off-host gateway reports decision latency in the tens of microseconds, set against model inference measured in hundreds of milliseconds [14]. The performance argument against runtime enforcement is weaker than the performance argument sounds. The availability argument still deserves design work of its own.</w:t>
      </w:r>
    </w:p>
    <w:p>
      <w:r>
        <w:t>Fifth, scope. SoD does not defend against injection. A prompt-injected agent under SoDA remains a compromised agent. The compromised agent cannot assemble the particular toxic combinations the policy forbids, and that limit is the whole of the protection on this axis. The framework takes the off-model authorization layer as intact [8], [14], works alongside that layer, and does not stand in for that layer. Confusing the two controls repeats the oldest mistake in the field, the belief that one control does everything.</w:t>
      </w:r>
    </w:p>
    <w:p>
      <w:r>
        <w:t>The final limitation concerns the kind of work the paper presents. The work is conceptual. No prototype stands behind SoDA, no dataset supports SoDA, and no measured result validates SoDA. That scope is deliberate, because the contribution is the policy model and the gap analysis, not a claim about an implementation.</w:t>
      </w:r>
    </w:p>
    <w:p>
      <w:pPr>
        <w:pStyle w:val="Heading2"/>
      </w:pPr>
      <w:r>
        <w:t>5.2 Open Challenges and Future Work</w:t>
      </w:r>
    </w:p>
    <w:p>
      <w:r>
        <w:t>The cold-start problem has a practical answer, and the answer sets the first open challenge. The catalog can be seeded from the four-class taxonomy and from known incident patterns, with new rules run in detective mode first, logged and reviewed, and only then promoted to preventive enforcement. Rule precision belongs in the policy lifecycle as a measured quantity, not as an assumed quantity. The direct future work is extraction of candidate sequence rules from recorded agent traces, in the way role mining once pulled roles out of access data.</w:t>
      </w:r>
    </w:p>
    <w:p>
      <w:r>
        <w:t>Tuning is the second open challenge. Guidance on when a rule should graduate from detective to preventive enforcement belongs in the policy lifecycle, and that guidance does not yet exist for agent sequence rules. Rules drawn too wide tax autonomy on every run; rules drawn too narrow miss the combinations that matter. The balance point is an empirical question, and the trace corpus described below is the instrument for answering the balance question.</w:t>
      </w:r>
    </w:p>
    <w:p>
      <w:r>
        <w:t>Correlation across tasks and agents is the third open challenge. Cross-task identity correlation and multi-agent collusion analysis remain open problems. Until both problems have working answers, sequence rules stay scoped to single tasks and delegation rules stay scoped to explicit chains, and the evasion limit stated in the Limitations subsection stands.</w:t>
      </w:r>
    </w:p>
    <w:p>
      <w:r>
        <w:t>Availability engineering at the gateway is the fourth open challenge. Fail-closed and fail-open behavior under gateway outage, degraded-mode policy evaluation, and the placement of the gateway relative to the business process all need design work and operational evidence. The latency evidence already available is encouraging; the availability evidence is not yet available.</w:t>
      </w:r>
    </w:p>
    <w:p>
      <w:r>
        <w:t>Validation is the fifth open challenge, and the path to validation is plain to state. The runtime check can be built as a policy module at an MCP-style tool gateway. Rule precision and recall can be scored against a trace corpus derived from incidents. Latency overhead can be measured while the gateway is under load. Findings can feed certification-style review queues so the whole loop, provisioning, runtime enforcement, and trace review, is tested end to end. Until that work is done, SoDA stands as a proposal, argued from first principles, ready for attempts to break the proposal.</w:t>
      </w:r>
    </w:p>
    <w:p>
      <w:pPr>
        <w:pStyle w:val="Heading1"/>
      </w:pPr>
      <w:r>
        <w:t>6. Conclusion</w:t>
      </w:r>
    </w:p>
    <w:p>
      <w:r>
        <w:t>Segregation of duties made the trip from bank ledgers to RBAC to SailPoint policies because each generation restated one idea for a new kind of subject: no single party should hold the combination of powers that makes fraud a solo act. Agents are the new subject, and the restatement is overdue. Classic SoD checks what an identity holds. Agents do damage by what the agents do, in the order the agents do the work, across delegation chains, with approval from the same operator who set the agents running. The paper names those three breakdowns, proposes a four-class conflict taxonomy and the SoDA policy model to express the breakdowns, and sets out a three-point enforcement architecture that reuses the IGA controls teams already own and adds one new piece of machinery, runtime evaluation at the tool gateway, and only one. A targeted survey of the literature found no published work in this space. Whether SoDA has the right shape for the space will be settled by prototypes, red teams, and auditors, not by assertion. One claim stands without qualification. The question can no longer wait. The agents already hold the keys.</w:t>
      </w:r>
    </w:p>
    <w:p>
      <w:pPr>
        <w:pStyle w:val="Heading1"/>
      </w:pPr>
      <w:r>
        <w:t>Acknowledgments</w:t>
      </w:r>
    </w:p>
    <w:p>
      <w:r>
        <w:t>AI Disclosure: AI tools were used to assist in drafting and editing this paper. All claims, data, and conclusions were reviewed and verified by the author.</w:t>
      </w:r>
    </w:p>
    <w:p>
      <w:pPr>
        <w:pStyle w:val="Heading1"/>
      </w:pPr>
      <w:r>
        <w:t>References</w:t>
      </w:r>
    </w:p>
    <w:p>
      <w:r>
        <w:t>[1]  M. J. Nash and K. R. Poland, “Some conundrums concerning separation of duty,” in Proc. 1990 IEEE Symp. Security and Privacy, Oakland, CA, USA, 1990, pp. 201–207.</w:t>
      </w:r>
    </w:p>
    <w:p>
      <w:r>
        <w:t>[2]  R. T. Simon and M. E. Zurko, “Separation of duty in role-based environments,” in Proc. 10th IEEE Computer Security Foundations Workshop, Rockport, MA, USA, 1997, pp. 183–194.</w:t>
      </w:r>
    </w:p>
    <w:p>
      <w:r>
        <w:t>[3]  D. F. Ferraiolo and D. R. Kuhn, “Role-based access controls,” in Proc. 15th National Computer Security Conf., Baltimore, MD, USA, 1992, pp. 554–563.</w:t>
      </w:r>
    </w:p>
    <w:p>
      <w:r>
        <w:t>[4]  R. S. Sandhu, E. J. Coyne, H. L. Feinstein, and C. E. Youman, “Role-based access control models,” IEEE Computer, vol. 29, no. 2, pp. 38–47, Feb. 1996.</w:t>
      </w:r>
    </w:p>
    <w:p>
      <w:r>
        <w:t>[5]  R. A. Botha and J. H. P. Eloff, “Separation of duties for access control enforcement in workflow environments,” IBM Systems J., vol. 40, no. 3, pp. 666–682, 2001.</w:t>
      </w:r>
    </w:p>
    <w:p>
      <w:r>
        <w:t>[6]  NIST, “Security and Privacy Controls for Information Systems and Organizations,” NIST Special Publication 800-53, Rev. 5, Sep. 2020.</w:t>
      </w:r>
    </w:p>
    <w:p>
      <w:r>
        <w:t>[7]  ISO/IEC, “Information security, cybersecurity and privacy protection — Information security management systems — Requirements,” ISO/IEC 27001:2022, Oct. 2022.</w:t>
      </w:r>
    </w:p>
    <w:p>
      <w:r>
        <w:t>[8]  K. Greshake, S. Abdelnabi, S. Mishra, C. Endres, T. Holz, and M. Fritz, “Not what you’ve signed up for: Compromising real-world LLM-integrated applications with indirect prompt injection,” in Proc. 16th ACM Workshop on Artificial Intelligence and Security (AISec), Copenhagen, Denmark, 2023, pp. 79–90.</w:t>
      </w:r>
    </w:p>
    <w:p>
      <w:r>
        <w:t>[9]  OWASP Foundation, “OWASP Top 10 for LLM Applications 2025,” 2025.</w:t>
      </w:r>
    </w:p>
    <w:p>
      <w:r>
        <w:t>[10]  L. Beurer-Kellner et al., “Design patterns for securing LLM agents against prompt injections,” arXiv:2506.08837, Jun. 2025.</w:t>
      </w:r>
    </w:p>
    <w:p>
      <w:r>
        <w:t>[11]  Y. Prifti, “Specifying AI-SDLC processes: A protocol language for human-agent boundaries,” arXiv:2606.20615, Jun. 2026.</w:t>
      </w:r>
    </w:p>
    <w:p>
      <w:r>
        <w:t>[12]  K. Huang, “Agentic AI threat modeling framework: MAESTRO,” Cloud Security Alliance, 2025.</w:t>
      </w:r>
    </w:p>
    <w:p>
      <w:r>
        <w:t>[13]  E. Tabassi, Artificial Intelligence Risk Management Framework (AI RMF 1.0), NIST Trustworthy and Responsible AI, NIST AI 100-1, Jan. 2023.</w:t>
      </w:r>
    </w:p>
    <w:p>
      <w:r>
        <w:t>[14]  S. V. Kodathala, “aiAuthZ: Off-host, identity-bound authorization for AI agents,” arXiv:2607.05518, Jul. 2026.</w:t>
      </w:r>
    </w:p>
    <w:p>
      <w:r>
        <w:t>[15]  P. S. V. Dantuluri and J. Sundi, “Delegation without trust: An empirical gap analysis of identity, authorization, and runtime governance in multi-agent LLM systems,” arXiv:2609.00267, Sep. 2026.</w:t>
      </w:r>
    </w:p>
    <w:p>
      <w:r>
        <w:t>[16]  Anthropic, “Model Context Protocol,” Nov. 2024. [Online]. Available: https://modelcontextprotocol.io</w:t>
      </w:r>
    </w:p>
    <w:p>
      <w:r>
        <w:t>[17]  Cloud Security Alliance, “The non-human identity governance vacuum,” 2026.</w:t>
      </w:r>
    </w:p>
    <w:p>
      <w:r>
        <w:t>[18]  SpyCloud, “2026 Identity Threat Report,” 2026.</w:t>
      </w:r>
    </w:p>
    <w:p>
      <w:pPr>
        <w:pStyle w:val="Heading1"/>
      </w:pPr>
      <w:r>
        <w:t>Author Biography</w:t>
      </w:r>
    </w:p>
    <w:p>
      <w:r>
        <w:t>Prabin Shrestha is an identity and access management practitioner based in Irving, TX 75038, USA. He received the B.S. degree in computer science from McNeese State University and is pursuing the M.S. degree in information technology at the University of the Cumberlands. His professional work centers on identity governance, including Okta and SailPoint deployments, and his research addresses the governance and security of AI agents. ORCID: 0009-0000-9144-558X.</w:t>
      </w:r>
    </w:p>
    <w:p>
      <w:pPr>
        <w:pStyle w:val="Heading1"/>
      </w:pPr>
      <w:r>
        <w:t>License</w:t>
      </w:r>
    </w:p>
    <w:p>
      <w:r>
        <w:t>© 2026 Prabin Shrestha. This paper is licensed under the Creative Commons Attribution-NoDerivatives 4.0 International License (CC BY-ND 4.0). You may share it, in whole and unchanged, with attribution to the author. No modified versions may be distributed. License text: https://creativecommons.org/licenses/by-nd/4.0/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Segregation of Duties for AI Agents: Modeling and Enforcing Toxic Capability Combinations in Autonomous Tool Access</dc:title>
  <dc:subject/>
  <dc:creator>Prabin Shrestha</dc:creator>
  <cp:keywords/>
  <dc:description>generated by python-docx</dc:description>
  <cp:lastModifiedBy/>
  <cp:revision>1</cp:revision>
  <dcterms:created xsi:type="dcterms:W3CDTF">2013-12-23T23:15:00Z</dcterms:created>
  <dcterms:modified xsi:type="dcterms:W3CDTF">2013-12-23T23:15:00Z</dcterms:modified>
  <cp:category/>
</cp:coreProperties>
</file>