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The Guardrail Cries Wolf: Prompt-Injection Detectors on the Text Security Teams Actually Send Them</w:t>
      </w:r>
    </w:p>
    <w:p>
      <w:pPr>
        <w:jc w:val="center"/>
      </w:pPr>
      <w:r>
        <w:t>Prabin Shrestha</w:t>
      </w:r>
    </w:p>
    <w:p>
      <w:pPr>
        <w:jc w:val="center"/>
      </w:pPr>
      <w:r>
        <w:t>University of the Cumberlands</w:t>
      </w:r>
    </w:p>
    <w:p>
      <w:pPr>
        <w:jc w:val="center"/>
      </w:pPr>
      <w:r>
        <w:t>prabinshrestha903@gmail.com</w:t>
      </w:r>
    </w:p>
    <w:p>
      <w:pPr>
        <w:jc w:val="center"/>
      </w:pPr>
      <w:r>
        <w:t>October 19, 2026</w:t>
      </w:r>
    </w:p>
    <w:p/>
    <w:p>
      <w:pPr>
        <w:pStyle w:val="Heading1"/>
      </w:pPr>
      <w:r>
        <w:t>Abstract</w:t>
      </w:r>
    </w:p>
    <w:p>
      <w:r>
        <w:t>Once a prompt-injection detector sits in front of an enterprise copilot, the sales number stops applying. The open detectors that current guidance points teams toward were validated on short, generic prompts. Security work does not read like that. It reads like attack descriptions, remediation orders, and analyst notes that quote the attacker's own words. The measurement covers three open detectors (ProtectAI DeBERTa-v3-base v1 and v2, and an fmops DistilBERT) plus a transparent keyword baseline. The test load was 1,528 benign items across six channels, 263 published benchmark attacks, 200 long benign carriers, and 108 carriers with a planted payload at a known position. Four findings carry the paper. First, false positives are a channel problem, not a model constant: at the shipped 0.5 threshold, ProtectAI v2 flags 0.0 percent of 1,000 CISA Known Exploited Vulnerabilities texts, 42.8 percent of benign trigger-word prompts, 21.9 percent of identity and access management admin text, and 100 percent of analyst notes quoting a payload. The DistilBERT flags 100 percent of the CISA, IAM, and quoted channels outright. Second, position is destiny under the standard integration: with truncate-at-512 scanning, ProtectAI v2 catches 83.3 percent of payloads placed at the start of a document and 8.3 percent placed at the end. Third, threshold tuning cannot fix the channels that false-fire, because the false positives arrive at maximum confidence: at a 0.9999 threshold, v2 still flags 88.3 percent of quoted analyst notes while attack recall falls from 41.4 to 20.5 percent. Fourth, windowed scanning works, and its price is measured here: chunk-max scanning recovers end-of-document detection to 75.0 percent and raises the false positive rate on long benign documents from 6.0 to 18.0 percent. One hypothesis failed in the measurement and is reported as measured: CISA vulnerability prose, the security text predicted to false-fire most, passes both ProtectAI models with no flags.</w:t>
      </w:r>
    </w:p>
    <w:p>
      <w:r>
        <w:t>Key takeaways, in one minute: (1) A detector's headline accuracy says nothing about its behavior on a given channel; measurement per channel comes before deployment. (2) Any detector deployment that truncates at 512 tokens is blind to most of a long document, by construction. (3) If analysts quote payloads, a detector that blocks on its own verdict will block the analysts. (4) No threshold escapes saturated scores. (5) Windowed scanning fixes position blindness and costs measurable false positives and compute; budget for both.</w:t>
      </w:r>
    </w:p>
    <w:p>
      <w:pPr>
        <w:pStyle w:val="Heading1"/>
      </w:pPr>
      <w:r>
        <w:t>Index Terms</w:t>
      </w:r>
    </w:p>
    <w:p>
      <w:r>
        <w:t>prompt injection, guardrail models, false positive rate, LLM security, security operations, identity and access management, detection engineering, AI security evaluation.</w:t>
      </w:r>
    </w:p>
    <w:p>
      <w:pPr>
        <w:pStyle w:val="Heading1"/>
      </w:pPr>
      <w:r>
        <w:t>1. Introduction</w:t>
      </w:r>
    </w:p>
    <w:p>
      <w:pPr>
        <w:pStyle w:val="Heading2"/>
      </w:pPr>
      <w:r>
        <w:t>1.1 Research Problem</w:t>
      </w:r>
    </w:p>
    <w:p>
      <w:r>
        <w:t>Enterprise copilot deployments of the last two years share the same shape. The model reads untrusted content: email, tickets, web pages, retrieved documents. Somewhere in the design review, someone says the words prompt injection, and someone else answers that a detector will go in front of it. The OWASP Top 10 for LLM Applications tells them to do exactly that. Its prompt injection entry lists input and output filtering as a core mitigation [13]. The detector that gets picked is usually an open model, because it can be self-hosted next to the data it scans. The pick gets justified with a number from a model card. ProtectAI's card reports 99.93 percent evaluation accuracy for v2, the detector tested here [10].</w:t>
      </w:r>
    </w:p>
    <w:p>
      <w:r>
        <w:t>That number was earned on a different job from the one the detector is about to do. Evaluation sets for these models are built from short user prompts and short attacks. The traffic a security team's copilot actually scans is longer, stranger, and written in a register that sounds hostile for a living. A CISA remediation order instructs the reader to apply mitigations and hunt for indicators of compromise. An incident write-up quotes the attacker's payload verbatim, because the team needs a detection rule for it. An access review instruction tells a reviewer to revoke entitlements and never bulk approve. If a classifier has learned that imperative, attack-adjacent language means injection, security work is where it will say so, loudly and at full confidence.</w:t>
      </w:r>
    </w:p>
    <w:p>
      <w:pPr>
        <w:pStyle w:val="Heading2"/>
      </w:pPr>
      <w:r>
        <w:t>1.2 Research Gap</w:t>
      </w:r>
    </w:p>
    <w:p>
      <w:r>
        <w:t>Three facts about deployment collide here, and none of them appears on a model card. The first is the 512-token window. These encoder detectors read at most 512 tokens at a time. Documents are longer. The integration most teams ship truncates, which means the detector scores the first page of a ten-page document and the deployment calls that a scan. The second is aggregation. Teams that notice the truncation problem scan in chunks and combine the chunk scores. Each combination rule has its own failure mode, and the failure modes are not symmetric: taking the maximum chunk score can only add false alarms as documents grow, while taking the mean can dilute a real payload into silence. The third fact is economic. When a detector false-fires on the team's own text, the standard response is to raise the threshold. Whether anything is left of the detector after that depends on the shape of its scores, and nobody publishes the shape.</w:t>
      </w:r>
    </w:p>
    <w:p>
      <w:r>
        <w:t>This paper measures all three, on the channels a security team actually sends. Precision about what is new here matters. The over-defense problem is not new: InjecGuard built the NotInject benchmark to show that guard models flag benign text containing trigger words [8], and PIGuard extended that line with harder synthetic negatives [9]. Adaptive-attack work has shown that determined attackers bypass these defenses [7]. Practitioner comparisons of commercial guardrails report benign false positive rates up to 13.1 percent. They also note that code review prompts are commonly misclassified [15]. The published record and the practitioner record contain no per-channel measurement on real security-operations text, no position measurement past the truncation window, and no account of what threshold tuning actually costs on the channels that false-fire. Those three gaps are the paper. The claim they support is the one the rest of the paper tests: false positives are a channel problem, not a model constant.</w:t>
      </w:r>
    </w:p>
    <w:p>
      <w:pPr>
        <w:pStyle w:val="Heading2"/>
      </w:pPr>
      <w:r>
        <w:t>1.3 Paper Contribution</w:t>
      </w:r>
    </w:p>
    <w:p>
      <w:r>
        <w:t>Against those gaps, the paper makes three contributions.</w:t>
      </w:r>
    </w:p>
    <w:p>
      <w:r>
        <w:t>(1) A per-channel false positive measurement of three open detectors and a keyword baseline on 1,528 benign items in six channels, including 1,000 current CISA Known Exploited Vulnerabilities texts, authored IAM admin fixtures, and analyst notes that quote real payload forms (Section 4.1); and one falsified hypothesis, reported as measured: CISA vulnerability prose does not false-fire under the ProtectAI models, contrary to the pre-registered expectation (Sections 3.5 and 4.1).</w:t>
      </w:r>
    </w:p>
    <w:p>
      <w:r>
        <w:t>(2) A length and aggregation measurement on 200 benign carriers from roughly 120 to 7,600 words, under truncate, chunk-max, and chunk-mean scanning (Section 4.2); and a position experiment: a fixed payload set planted at the start, middle, and end of 36 carriers, scored under truncate, chunk-max, and sliding-window scanning, with a paired statistical test (Section 4.3).</w:t>
      </w:r>
    </w:p>
    <w:p>
      <w:r>
        <w:t>(3) A threshold study showing that no threshold in a wide grid rescues the channels that false-fire, because false positives arrive at saturated scores (Section 4.4); and a mitigation counter-test that prices the fix that works: windowed scanning recovers position-blind detection at a measured false positive and compute cost (Section 4.5).</w:t>
      </w:r>
    </w:p>
    <w:p>
      <w:pPr>
        <w:pStyle w:val="Heading2"/>
      </w:pPr>
      <w:r>
        <w:t>1.4 Paper Structure</w:t>
      </w:r>
    </w:p>
    <w:p>
      <w:r>
        <w:t>The rest of the paper follows the measurements: Background and Related Work (Section 2) sets out prior work and the gap it leaves, Method (Section 3) states the data, protocol, hypotheses, and statistics before results, Results (Section 4) reports the five experiments channel by channel and position by position, Discussion (Section 5) states what the results change in a deployment review and where they stop, and the Conclusion (Section 6) closes.</w:t>
      </w:r>
    </w:p>
    <w:p>
      <w:pPr>
        <w:pStyle w:val="Heading1"/>
      </w:pPr>
      <w:r>
        <w:t>2. Background and Related Work</w:t>
      </w:r>
    </w:p>
    <w:p>
      <w:r>
        <w:t>Greshake et al. planted instructions in content an LLM later retrieves and showed that the model follows them, with consequences from data theft to ecosystem contamination [1]. Benchmarks followed. BIPIA built indirect-injection test cases inside realistic content such as email question answering [2]. AgentDojo turned the problem into a dynamic environment for tool-using agents, with 629 security test cases [3]. InjecAgent measured tool-integrated agents against 1,054 cases [4]. These benchmarks measure the attack side. They establish that injections work. They say little about what the proposed detectors do to benign traffic.</w:t>
      </w:r>
    </w:p>
    <w:p>
      <w:r>
        <w:t>Defenses split into architecture and detection. StruQ separates instructions from data at the query level and measures that split on generic instruction data [6]. DataSentinel frames detection as a game-theoretic classification problem and reports strong detection on its evaluation sets [5]. The detection line most relevant here is the over-defense line. InjecGuard introduced NotInject, 339 benign samples built around trigger words, and showed that guard model accuracy on it falls toward random [8]. PIGuard, the successor study, added a much larger synthetic hard-negative set and a model trained to resist over-defense [9]. That work is the closest to this study, and the difference matters for how the results should be read. NotInject-style negatives are short, synthetic, and built around known trigger words. The SecOps channels here are real operational text (CISA catalog entries), authored professional fixtures (IAM runbooks and review instructions), and analyst notes whose whole content is a quoted attack. The question is not whether detectors over-defend on constructed examples. It is what they do to the text a security organization produces every day.</w:t>
      </w:r>
    </w:p>
    <w:p>
      <w:r>
        <w:t>The attack-side ceiling is worth stating, so this paper is not misread as a claim about how well these detectors withstand attack. Nasr et al. evaluated twelve defenses against adaptive attackers and bypassed most of them with attack success rates above 90 percent [7]. This study sits at the opposite end: no adaptive attacker, shipped defaults, realistic benign load. A detector can fail this test and theirs for different reasons, and a deployment needs both answers.</w:t>
      </w:r>
    </w:p>
    <w:p>
      <w:r>
        <w:t>Practitioner evidence points the same direction as the academic over-defense work, but it rests on weaker evidence. Unit 42 compared commercial guardrails on 1,123 prompts and found benign false positive rates from 0.1 to 13.1 percent across platforms at strict settings, with code review prompts commonly misclassified [15]. A non-peer-reviewed replication effort reported the ProtectAI model scoring well below its card number across public datasets. A recent non-peer-reviewed dilution study tested nine models with payloads padded inside the token window. These sources enter as motivation, not as findings: none of them isolates security-operations channels, none varies payload position past the window, and none reports what threshold retuning costs. Meta's Prompt Guard line is the industrial reference point for small detector models; its current version is gated, which kept it out of the panel here and out of independent replication [14].</w:t>
      </w:r>
    </w:p>
    <w:p>
      <w:r>
        <w:t>Guidance recommends the control without pricing it. OWASP's prompt injection entry recommends filtering while conceding that foolproof prevention may not exist [13]. NIST's adversarial machine learning taxonomy supplies the mitigation vocabulary but no expected false positive behavior per content channel [12]. A control can satisfy current guidance in full and still behave badly on the traffic it was bought for. The guidance never asks for the measurement.</w:t>
      </w:r>
    </w:p>
    <w:p>
      <w:pPr>
        <w:pStyle w:val="Heading1"/>
      </w:pPr>
      <w:r>
        <w:t>3. Method</w:t>
      </w:r>
    </w:p>
    <w:p>
      <w:pPr>
        <w:pStyle w:val="Heading2"/>
      </w:pPr>
      <w:r>
        <w:t>3.1 Detectors under test</w:t>
      </w:r>
    </w:p>
    <w:p>
      <w:r>
        <w:t>The panel has three open neural detectors and one transparent baseline. ProtectAI deberta-v3-base-prompt-injection-v2 (called v2 here) is the de facto open standard; its card claims 99.93 percent evaluation accuracy and warns of false positives on system prompts [10]. ProtectAI deberta-v3-base-prompt-injection (v1) is its predecessor, same architecture, earlier training. The fmops DistilBERT detector is a smaller, widely mirrored model trained on the deepset dataset [11]; the run used ProtectAI's own ONNX export of it. All three ran as official ONNX exports on CPU, which is how many self-hosted deployments serve them. The keyword baseline is a documented set of ten regular expressions for canonical injection phrasing (ignore previous instructions, reveal your system prompt, and their close variants). It is the transparent floor any learned detector should beat, and its behavior is fully inspectable. One panel note: the fmops model card ships no label mapping in its config. The mapping (output index 1 is the injection class) was established against deepset ground truth and plain-language control sentences before the main run. The main results corroborate that mapping: the model's median score on benchmark attacks is 0.9996, while all 56 deepset benign test items score below 0.5. A gated ProtectAI small model and Meta's Prompt Guard 2 were excluded because their licenses require click-through agreements; the design does not depend on them.</w:t>
      </w:r>
    </w:p>
    <w:p>
      <w:pPr>
        <w:pStyle w:val="Heading2"/>
      </w:pPr>
      <w:r>
        <w:t>3.2 Benign corpora: six channels</w:t>
      </w:r>
    </w:p>
    <w:p>
      <w:r>
        <w:t>“Benign by construction” is a label rule, stated here for each channel. B1 is NotInject, all 339 samples, the published over-defense anchor [8]. B1b is the benign half of the deepset test split, 56 items, short user requests [16]. B3a is 600 CISA Known Exploited Vulnerabilities catalog descriptions, sampled with seed 42 from the full catalog of 1,748 entries downloaded on October 19, 2026 [17]. B3b is 400 KEV required-action texts: remediation instructions addressed to human administrators. B3q is 60 analyst notes authored for this study: five professional framings (incident write-up, detection engineering note, training material, threat intel digest, phishing triage note), each quoting one of twelve canonical payload strings verbatim. The label rule is that quoted attack text inside analyst framing is benign for a scanner guarding a copilot. The analyst is reporting the attack, not issuing it, and a deployment that blocks the note blocks incident work. Reasonable reviewers can dispute the rule for some framings, which is why B3q is reported as its own channel and never pooled silently. B4 is 73 IAM and admin fixtures authored from practice: access review instructions, joiner and leaver checklists, certification guidance, federation notes. Imperative text, addressed to humans and to reviewers, in a professional register.</w:t>
      </w:r>
    </w:p>
    <w:p>
      <w:pPr>
        <w:pStyle w:val="Heading2"/>
      </w:pPr>
      <w:r>
        <w:t>3.3 Attack corpora and carriers</w:t>
      </w:r>
    </w:p>
    <w:p>
      <w:r>
        <w:t>A1 is every malicious item in the deepset dataset snapshot used here: 263 items (60 test, 203 train). Two cautions attach to A1 and carry through the results. The deepset labels are known to be noisy, so A1 recall is a benchmark recall, not a field recall. And the fmops detector was trained on this dataset, so its A1 numbers are partly in-sample; where that matters, the results say so. For length and position, carriers were built: benign documents assembled by concatenating public benign blocks (KEV text, NotInject items, IAM fixtures) into four length bins, 60 documents near 120 words, 60 near 480, 50 near 1,900, and 30 near 7,600. Concatenation buys control over length at the price of naturalness; the carriers are measurement instruments, not samples of real documents, and Section 5 owns that limit. The position set plants ten canonical payloads into 36 carriers (18 medium, 18 long) at the start, the middle, and the end: 108 documents, each payload position crossed with each carrier length.</w:t>
      </w:r>
    </w:p>
    <w:p>
      <w:pPr>
        <w:pStyle w:val="Heading2"/>
      </w:pPr>
      <w:r>
        <w:t>3.4 Scanning strategies</w:t>
      </w:r>
    </w:p>
    <w:p>
      <w:r>
        <w:t>A deployment can feed a document to a 512-token detector in four ways, mirroring documented scanner modes in tools such as LLM Guard. Truncate scores the first 510 content tokens (the 512-token window with special tokens included) and ignores the rest. Chunk-max splits the document into non-overlapping 510-token chunks, scores each, and takes the maximum. Chunk-mean takes the mean. Slide uses a 510-token window with a 170-token stride and takes the maximum, so a payload straddling a chunk boundary falls whole inside some window. Short items fit in one window, where all strategies coincide; the strategies diverge exactly where deployment gets hard, on long input.</w:t>
      </w:r>
    </w:p>
    <w:p>
      <w:pPr>
        <w:pStyle w:val="Heading2"/>
      </w:pPr>
      <w:r>
        <w:t>3.5 Hypotheses, registered before results</w:t>
      </w:r>
    </w:p>
    <w:p>
      <w:r>
        <w:t>H1 (channel): at the 0.5 default, false positive rate (FPR) on benign SecOps text exceeds generic benign text by at least 5 points for at least one detector. H2 (length): under chunk-max, benign false positive rate rises with document length. H3 (position): under truncate, detection of a fixed payload falls sharply when the payload sits past token 512; windowed scanning recovers it. H4 (operating point): reaching a 1 percent false positive rate on the SecOps channel costs at least 10 points of attack recall. Each hypothesis names its falsifier: flat channel gaps under 2 points falsify H1; flat length curves falsify H2; flat position curves falsify H3; a cheap threshold falsifies H4. Section 4 reports each verdict, including the one that failed.</w:t>
      </w:r>
    </w:p>
    <w:p>
      <w:pPr>
        <w:pStyle w:val="Heading2"/>
      </w:pPr>
      <w:r>
        <w:t>3.6 Statistics and reproducibility</w:t>
      </w:r>
    </w:p>
    <w:p>
      <w:r>
        <w:t>Deterministic CPU inference, fixed seed 42, per-item scores recorded for every detector, corpus, and strategy. Rates carry bootstrap 95 percent confidence intervals from 10,000 item-level resamples. The position contrast uses McNemar's test on paired items. Threshold results come from a grid sweep (0.5 to 0.9999). Model files are the publishers' ONNX exports, downloaded October 19, 2026; corpus manifests with hashes, the corpus builder, the experiment runner, and the raw scores ship with this paper. One environmental note: inference ran on a shared 2-vCPU virtual machine, so latency figures are relative costs, not benchmarks.</w:t>
      </w:r>
    </w:p>
    <w:p>
      <w:pPr>
        <w:pStyle w:val="Heading1"/>
      </w:pPr>
      <w:r>
        <w:t>4. Results</w:t>
      </w:r>
    </w:p>
    <w:p>
      <w:r>
        <w:t>The five experiments follow the hypotheses in order: channel false positives, length and aggregation, payload position, threshold behavior, and the mitigation counter-test. Each findings group closes with the mitigation state the measurements establish.</w:t>
      </w:r>
    </w:p>
    <w:p>
      <w:pPr>
        <w:pStyle w:val="Heading2"/>
      </w:pPr>
      <w:r>
        <w:t>4.1 Experiment 1: false positives are a channel property</w:t>
      </w:r>
    </w:p>
    <w:p>
      <w:r>
        <w:t>Table I gives the false positive rate per benign channel at the shipped 0.5 threshold, with attack recall on A1 for reference. Read the ProtectAI v2 row first, because it is the model a team would most likely deploy. On CISA vulnerability descriptions it is perfect: 0 flags in 600 items. On CISA remediation actions, also perfect: 0 in 400. On the published NotInject set it flags 42.8 percent. On the IAM fixtures it flags 21.9 percent. On analyst notes quoting a payload it flags 60 of 60. Same model, same threshold, same morning. The false positive rate is not a property of the detector. It is a property of the detector pointed at a channel.</w:t>
      </w:r>
    </w:p>
    <w:p>
      <w:r>
        <w:t>Filed by channel, this findings group covers the six benign channels in turn: NotInject trigger-word prompts, short deepset benign requests, CISA KEV descriptions, CISA KEV required actions, analyst notes quoting a payload, and IAM admin fixtures.</w:t>
      </w:r>
    </w:p>
    <w:p>
      <w:r>
        <w:rPr>
          <w:b/>
        </w:rPr>
        <w:t>Table I. False positive rate per benign channel at threshold 0.5, and recall on benchmark attacks (A1).</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Pr>
                <w:b/>
              </w:rPr>
              <w:t>Detector</w:t>
            </w:r>
          </w:p>
        </w:tc>
        <w:tc>
          <w:tcPr>
            <w:tcW w:type="dxa" w:w="1170"/>
          </w:tcPr>
          <w:p>
            <w:r>
              <w:rPr>
                <w:b/>
              </w:rPr>
              <w:t>B1 NotInject (n=339)</w:t>
            </w:r>
          </w:p>
        </w:tc>
        <w:tc>
          <w:tcPr>
            <w:tcW w:type="dxa" w:w="1170"/>
          </w:tcPr>
          <w:p>
            <w:r>
              <w:rPr>
                <w:b/>
              </w:rPr>
              <w:t>B1b deepset benign (n=56)</w:t>
            </w:r>
          </w:p>
        </w:tc>
        <w:tc>
          <w:tcPr>
            <w:tcW w:type="dxa" w:w="1170"/>
          </w:tcPr>
          <w:p>
            <w:r>
              <w:rPr>
                <w:b/>
              </w:rPr>
              <w:t>B3a KEV desc. (n=600)</w:t>
            </w:r>
          </w:p>
        </w:tc>
        <w:tc>
          <w:tcPr>
            <w:tcW w:type="dxa" w:w="1170"/>
          </w:tcPr>
          <w:p>
            <w:r>
              <w:rPr>
                <w:b/>
              </w:rPr>
              <w:t>B3b KEV actions (n=400)</w:t>
            </w:r>
          </w:p>
        </w:tc>
        <w:tc>
          <w:tcPr>
            <w:tcW w:type="dxa" w:w="1170"/>
          </w:tcPr>
          <w:p>
            <w:r>
              <w:rPr>
                <w:b/>
              </w:rPr>
              <w:t>B3q quoted (n=60)</w:t>
            </w:r>
          </w:p>
        </w:tc>
        <w:tc>
          <w:tcPr>
            <w:tcW w:type="dxa" w:w="1170"/>
          </w:tcPr>
          <w:p>
            <w:r>
              <w:rPr>
                <w:b/>
              </w:rPr>
              <w:t>B4 IAM (n=73)</w:t>
            </w:r>
          </w:p>
        </w:tc>
        <w:tc>
          <w:tcPr>
            <w:tcW w:type="dxa" w:w="1170"/>
          </w:tcPr>
          <w:p>
            <w:r>
              <w:rPr>
                <w:b/>
              </w:rPr>
              <w:t>A1 recall (n=263)</w:t>
            </w:r>
          </w:p>
        </w:tc>
      </w:tr>
      <w:tr>
        <w:tc>
          <w:tcPr>
            <w:tcW w:type="dxa" w:w="1170"/>
          </w:tcPr>
          <w:p>
            <w:r>
              <w:t>ProtectAI v2</w:t>
            </w:r>
          </w:p>
        </w:tc>
        <w:tc>
          <w:tcPr>
            <w:tcW w:type="dxa" w:w="1170"/>
          </w:tcPr>
          <w:p>
            <w:r>
              <w:t>42.8%</w:t>
            </w:r>
          </w:p>
        </w:tc>
        <w:tc>
          <w:tcPr>
            <w:tcW w:type="dxa" w:w="1170"/>
          </w:tcPr>
          <w:p>
            <w:r>
              <w:t>0.0%</w:t>
            </w:r>
          </w:p>
        </w:tc>
        <w:tc>
          <w:tcPr>
            <w:tcW w:type="dxa" w:w="1170"/>
          </w:tcPr>
          <w:p>
            <w:r>
              <w:t>0.0%</w:t>
            </w:r>
          </w:p>
        </w:tc>
        <w:tc>
          <w:tcPr>
            <w:tcW w:type="dxa" w:w="1170"/>
          </w:tcPr>
          <w:p>
            <w:r>
              <w:t>0.0%</w:t>
            </w:r>
          </w:p>
        </w:tc>
        <w:tc>
          <w:tcPr>
            <w:tcW w:type="dxa" w:w="1170"/>
          </w:tcPr>
          <w:p>
            <w:r>
              <w:t>100.0%</w:t>
            </w:r>
          </w:p>
        </w:tc>
        <w:tc>
          <w:tcPr>
            <w:tcW w:type="dxa" w:w="1170"/>
          </w:tcPr>
          <w:p>
            <w:r>
              <w:t>21.9%</w:t>
            </w:r>
          </w:p>
        </w:tc>
        <w:tc>
          <w:tcPr>
            <w:tcW w:type="dxa" w:w="1170"/>
          </w:tcPr>
          <w:p>
            <w:r>
              <w:t>41.4%</w:t>
            </w:r>
          </w:p>
        </w:tc>
      </w:tr>
      <w:tr>
        <w:tc>
          <w:tcPr>
            <w:tcW w:type="dxa" w:w="1170"/>
          </w:tcPr>
          <w:p>
            <w:r>
              <w:t>ProtectAI v1</w:t>
            </w:r>
          </w:p>
        </w:tc>
        <w:tc>
          <w:tcPr>
            <w:tcW w:type="dxa" w:w="1170"/>
          </w:tcPr>
          <w:p>
            <w:r>
              <w:t>28.3%</w:t>
            </w:r>
          </w:p>
        </w:tc>
        <w:tc>
          <w:tcPr>
            <w:tcW w:type="dxa" w:w="1170"/>
          </w:tcPr>
          <w:p>
            <w:r>
              <w:t>0.0%</w:t>
            </w:r>
          </w:p>
        </w:tc>
        <w:tc>
          <w:tcPr>
            <w:tcW w:type="dxa" w:w="1170"/>
          </w:tcPr>
          <w:p>
            <w:r>
              <w:t>0.0%</w:t>
            </w:r>
          </w:p>
        </w:tc>
        <w:tc>
          <w:tcPr>
            <w:tcW w:type="dxa" w:w="1170"/>
          </w:tcPr>
          <w:p>
            <w:r>
              <w:t>0.0%</w:t>
            </w:r>
          </w:p>
        </w:tc>
        <w:tc>
          <w:tcPr>
            <w:tcW w:type="dxa" w:w="1170"/>
          </w:tcPr>
          <w:p>
            <w:r>
              <w:t>46.7%</w:t>
            </w:r>
          </w:p>
        </w:tc>
        <w:tc>
          <w:tcPr>
            <w:tcW w:type="dxa" w:w="1170"/>
          </w:tcPr>
          <w:p>
            <w:r>
              <w:t>0.0%</w:t>
            </w:r>
          </w:p>
        </w:tc>
        <w:tc>
          <w:tcPr>
            <w:tcW w:type="dxa" w:w="1170"/>
          </w:tcPr>
          <w:p>
            <w:r>
              <w:t>45.3%</w:t>
            </w:r>
          </w:p>
        </w:tc>
      </w:tr>
      <w:tr>
        <w:tc>
          <w:tcPr>
            <w:tcW w:type="dxa" w:w="1170"/>
          </w:tcPr>
          <w:p>
            <w:r>
              <w:t>fmops DistilBERT</w:t>
            </w:r>
          </w:p>
        </w:tc>
        <w:tc>
          <w:tcPr>
            <w:tcW w:type="dxa" w:w="1170"/>
          </w:tcPr>
          <w:p>
            <w:r>
              <w:t>71.7%</w:t>
            </w:r>
          </w:p>
        </w:tc>
        <w:tc>
          <w:tcPr>
            <w:tcW w:type="dxa" w:w="1170"/>
          </w:tcPr>
          <w:p>
            <w:r>
              <w:t>0.0%</w:t>
            </w:r>
          </w:p>
        </w:tc>
        <w:tc>
          <w:tcPr>
            <w:tcW w:type="dxa" w:w="1170"/>
          </w:tcPr>
          <w:p>
            <w:r>
              <w:t>100.0%</w:t>
            </w:r>
          </w:p>
        </w:tc>
        <w:tc>
          <w:tcPr>
            <w:tcW w:type="dxa" w:w="1170"/>
          </w:tcPr>
          <w:p>
            <w:r>
              <w:t>100.0%</w:t>
            </w:r>
          </w:p>
        </w:tc>
        <w:tc>
          <w:tcPr>
            <w:tcW w:type="dxa" w:w="1170"/>
          </w:tcPr>
          <w:p>
            <w:r>
              <w:t>100.0%</w:t>
            </w:r>
          </w:p>
        </w:tc>
        <w:tc>
          <w:tcPr>
            <w:tcW w:type="dxa" w:w="1170"/>
          </w:tcPr>
          <w:p>
            <w:r>
              <w:t>100.0%</w:t>
            </w:r>
          </w:p>
        </w:tc>
        <w:tc>
          <w:tcPr>
            <w:tcW w:type="dxa" w:w="1170"/>
          </w:tcPr>
          <w:p>
            <w:r>
              <w:t>95.8%</w:t>
            </w:r>
          </w:p>
        </w:tc>
      </w:tr>
      <w:tr>
        <w:tc>
          <w:tcPr>
            <w:tcW w:type="dxa" w:w="1170"/>
          </w:tcPr>
          <w:p>
            <w:r>
              <w:t>Keyword baseline</w:t>
            </w:r>
          </w:p>
        </w:tc>
        <w:tc>
          <w:tcPr>
            <w:tcW w:type="dxa" w:w="1170"/>
          </w:tcPr>
          <w:p>
            <w:r>
              <w:t>0.0%</w:t>
            </w:r>
          </w:p>
        </w:tc>
        <w:tc>
          <w:tcPr>
            <w:tcW w:type="dxa" w:w="1170"/>
          </w:tcPr>
          <w:p>
            <w:r>
              <w:t>0.0%</w:t>
            </w:r>
          </w:p>
        </w:tc>
        <w:tc>
          <w:tcPr>
            <w:tcW w:type="dxa" w:w="1170"/>
          </w:tcPr>
          <w:p>
            <w:r>
              <w:t>0.0%</w:t>
            </w:r>
          </w:p>
        </w:tc>
        <w:tc>
          <w:tcPr>
            <w:tcW w:type="dxa" w:w="1170"/>
          </w:tcPr>
          <w:p>
            <w:r>
              <w:t>0.0%</w:t>
            </w:r>
          </w:p>
        </w:tc>
        <w:tc>
          <w:tcPr>
            <w:tcW w:type="dxa" w:w="1170"/>
          </w:tcPr>
          <w:p>
            <w:r>
              <w:t>36.7%</w:t>
            </w:r>
          </w:p>
        </w:tc>
        <w:tc>
          <w:tcPr>
            <w:tcW w:type="dxa" w:w="1170"/>
          </w:tcPr>
          <w:p>
            <w:r>
              <w:t>0.0%</w:t>
            </w:r>
          </w:p>
        </w:tc>
        <w:tc>
          <w:tcPr>
            <w:tcW w:type="dxa" w:w="1170"/>
          </w:tcPr>
          <w:p>
            <w:r>
              <w:t>3.4%</w:t>
            </w:r>
          </w:p>
        </w:tc>
      </w:tr>
    </w:tbl>
    <w:p>
      <w:r>
        <w:t>The v1 row tells a version story. The older model flags less benign text almost everywhere (28.3 percent on NotInject, 46.7 percent on quoted notes, nothing on IAM fixtures) at similar benchmark recall. Whatever v2 gained in its training, channel discipline was not part of it. The fmops row is a different kind of failure. It flags every single CISA description, every remediation action, every IAM fixture, and every quoted note, while passing all 56 short deepset benign requests and catching 95.8 percent of A1. That pattern has a mundane explanation: it was trained on deepset, where benign means a short user request, and it has learned something close to “long, formal, imperative text is an attack”. On security channels it is not a detector with a high false positive rate. It is a near-constant alarm. Its pooled accuracy across the benign and attack sets here is 22.6 percent, below the accuracy of calling everything benign. The keyword baseline sits at the other corner: it flags nothing anywhere except 36.7 percent of the quoted notes, where the payload text is literally present, and it catches 3.4 percent of attacks. It is honest about what it is. Any learned detector that cannot beat its channel profile has no business blocking traffic.</w:t>
      </w:r>
    </w:p>
    <w:p>
      <w:r>
        <w:t>Now the falsified half of H1, reported plainly. CISA prose was expected to false-fire. It does not, under either ProtectAI model. Vulnerability descriptions are third-person, factual, and light on imperatives; remediation actions are imperative but formulaic, and both models score them at the floor (the 99th percentile score on B3a for v2 is 0.0011). H1 survives only in revised form: the channel effect is real and large, but the dangerous channels are the ones where benign text gives instructions or quotes attacks, not the ones where it describes vulnerabilities. A SOC copilot that mostly summarizes CVEs would see few false alarms from ProtectAI. A copilot that drafts remediation steps, reviews access requests, or helps write incident notes sits in the channels that false-fire. Pooled metrics hide all of this. Across every benign channel and A1, v2 posts 79.1 percent accuracy, 33.0 percent precision, and 41.4 percent recall. Its F1 is 36.8 percent and its ROC AUC is 0.665. The AUC is the quiet scandal in that row. On mixed channels the model's ranking ability is far weaker than a 99.93 percent card number suggests, because the card's evaluation never mixed channels like these.</w:t>
      </w:r>
    </w:p>
    <w:p>
      <w:r>
        <w:t>Mitigation state for this findings group: no threshold setting repairs the channels that false-fire, as the threshold study in this paper shows, and no detector in the panel earns a blocking posture on text that gives instructions or quotes attacks. The follow-through the measurements support is channel routing: advisory handling for the instruction-giving and payload-quoting channels, with the priced version of that recommendation stated in the mitigation counter-test.</w:t>
      </w:r>
    </w:p>
    <w:p>
      <w:pPr>
        <w:pStyle w:val="Heading2"/>
      </w:pPr>
      <w:r>
        <w:t>4.2 Experiment 2: length punishes chunk-max, mean hides, truncate ignores</w:t>
      </w:r>
    </w:p>
    <w:p>
      <w:r>
        <w:t>Table II tracks benign carrier false positives across length bins for ProtectAI v2. Under truncate the rate is flat, 0.0 to 6.7 percent, because the scanner only ever sees the same first window; the rest of the document might as well not exist, for false alarms and for attacks alike. Under chunk-max the rate climbs with length: 6.7 percent on short carriers, 6.7 percent on medium, 18.0 percent on long carriers near 1,900 words. The mechanism is arithmetic, not mystery. Every chunk is a fresh draw from the per-chunk false alarm distribution, and the maximum of several draws exceeds a threshold far more often than one draw does. Under chunk-mean the rate falls to zero on long carriers, which sounds like a fix until Section 4.3 shows what averaging does to a real payload sitting in one chunk among several. ProtectAI v1 stays near zero in every bin, consistent with its conservative channel profile. The fmops model flags 100 percent of carriers at every length and under every strategy, so it contributes no length information; a detector that alarms on everything cannot get worse with length.</w:t>
      </w:r>
    </w:p>
    <w:p>
      <w:r>
        <w:rPr>
          <w:b/>
        </w:rPr>
        <w:t>Table II. Benign carrier false positive rate by length bin and scanning strategy, ProtectAI v2.</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Pr>
                <w:b/>
              </w:rPr>
              <w:t>Strategy (ProtectAI v2)</w:t>
            </w:r>
          </w:p>
        </w:tc>
        <w:tc>
          <w:tcPr>
            <w:tcW w:type="dxa" w:w="1872"/>
          </w:tcPr>
          <w:p>
            <w:r>
              <w:rPr>
                <w:b/>
              </w:rPr>
              <w:t>Short ~120 words (n=60)</w:t>
            </w:r>
          </w:p>
        </w:tc>
        <w:tc>
          <w:tcPr>
            <w:tcW w:type="dxa" w:w="1872"/>
          </w:tcPr>
          <w:p>
            <w:r>
              <w:rPr>
                <w:b/>
              </w:rPr>
              <w:t>Medium ~480 words (n=60)</w:t>
            </w:r>
          </w:p>
        </w:tc>
        <w:tc>
          <w:tcPr>
            <w:tcW w:type="dxa" w:w="1872"/>
          </w:tcPr>
          <w:p>
            <w:r>
              <w:rPr>
                <w:b/>
              </w:rPr>
              <w:t>Long ~1,900 words (n=50)</w:t>
            </w:r>
          </w:p>
        </w:tc>
        <w:tc>
          <w:tcPr>
            <w:tcW w:type="dxa" w:w="1872"/>
          </w:tcPr>
          <w:p>
            <w:r>
              <w:rPr>
                <w:b/>
              </w:rPr>
              <w:t>Extra long ~7,600 words (n=30)</w:t>
            </w:r>
          </w:p>
        </w:tc>
      </w:tr>
      <w:tr>
        <w:tc>
          <w:tcPr>
            <w:tcW w:type="dxa" w:w="1872"/>
          </w:tcPr>
          <w:p>
            <w:r>
              <w:t>Truncate</w:t>
            </w:r>
          </w:p>
        </w:tc>
        <w:tc>
          <w:tcPr>
            <w:tcW w:type="dxa" w:w="1872"/>
          </w:tcPr>
          <w:p>
            <w:r>
              <w:t>6.7%</w:t>
            </w:r>
          </w:p>
        </w:tc>
        <w:tc>
          <w:tcPr>
            <w:tcW w:type="dxa" w:w="1872"/>
          </w:tcPr>
          <w:p>
            <w:r>
              <w:t>5.0%</w:t>
            </w:r>
          </w:p>
        </w:tc>
        <w:tc>
          <w:tcPr>
            <w:tcW w:type="dxa" w:w="1872"/>
          </w:tcPr>
          <w:p>
            <w:r>
              <w:t>6.0%</w:t>
            </w:r>
          </w:p>
        </w:tc>
        <w:tc>
          <w:tcPr>
            <w:tcW w:type="dxa" w:w="1872"/>
          </w:tcPr>
          <w:p>
            <w:r>
              <w:t>0.0%</w:t>
            </w:r>
          </w:p>
        </w:tc>
      </w:tr>
      <w:tr>
        <w:tc>
          <w:tcPr>
            <w:tcW w:type="dxa" w:w="1872"/>
          </w:tcPr>
          <w:p>
            <w:r>
              <w:t>Chunk-max</w:t>
            </w:r>
          </w:p>
        </w:tc>
        <w:tc>
          <w:tcPr>
            <w:tcW w:type="dxa" w:w="1872"/>
          </w:tcPr>
          <w:p>
            <w:r>
              <w:t>6.7%</w:t>
            </w:r>
          </w:p>
        </w:tc>
        <w:tc>
          <w:tcPr>
            <w:tcW w:type="dxa" w:w="1872"/>
          </w:tcPr>
          <w:p>
            <w:r>
              <w:t>6.7%</w:t>
            </w:r>
          </w:p>
        </w:tc>
        <w:tc>
          <w:tcPr>
            <w:tcW w:type="dxa" w:w="1872"/>
          </w:tcPr>
          <w:p>
            <w:r>
              <w:t>18.0%</w:t>
            </w:r>
          </w:p>
        </w:tc>
        <w:tc>
          <w:tcPr>
            <w:tcW w:type="dxa" w:w="1872"/>
          </w:tcPr>
          <w:p>
            <w:r>
              <w:t>not run (see text)</w:t>
            </w:r>
          </w:p>
        </w:tc>
      </w:tr>
      <w:tr>
        <w:tc>
          <w:tcPr>
            <w:tcW w:type="dxa" w:w="1872"/>
          </w:tcPr>
          <w:p>
            <w:r>
              <w:t>Chunk-mean</w:t>
            </w:r>
          </w:p>
        </w:tc>
        <w:tc>
          <w:tcPr>
            <w:tcW w:type="dxa" w:w="1872"/>
          </w:tcPr>
          <w:p>
            <w:r>
              <w:t>6.7%</w:t>
            </w:r>
          </w:p>
        </w:tc>
        <w:tc>
          <w:tcPr>
            <w:tcW w:type="dxa" w:w="1872"/>
          </w:tcPr>
          <w:p>
            <w:r>
              <w:t>1.7%</w:t>
            </w:r>
          </w:p>
        </w:tc>
        <w:tc>
          <w:tcPr>
            <w:tcW w:type="dxa" w:w="1872"/>
          </w:tcPr>
          <w:p>
            <w:r>
              <w:t>0.0%</w:t>
            </w:r>
          </w:p>
        </w:tc>
        <w:tc>
          <w:tcPr>
            <w:tcW w:type="dxa" w:w="1872"/>
          </w:tcPr>
          <w:p>
            <w:r>
              <w:t>not run (see text)</w:t>
            </w:r>
          </w:p>
        </w:tc>
      </w:tr>
    </w:tbl>
    <w:p>
      <w:r>
        <w:t>Two honest qualifications. The extra-long bin was scored under truncate only; chunk strategies on that bin exceeded this run's compute budget on a shared machine, and the gap is reported rather than estimated. And H2's verdict is narrower than its wording: the length effect is confirmed for chunk-max on the primary detector, with the long-bin rate roughly triple the truncate rate. The absolute numbers ride on carriers built from public blocks, and a different benign mix would move them. The direction and the mechanism are the findings. The exact percentages belong to this corpus.</w:t>
      </w:r>
    </w:p>
    <w:p>
      <w:r>
        <w:t>Mitigation state for this findings group: the aggregation rule is itself a control decision, and none of the three rules is safe by default. Truncate caps false alarms by ignoring most of the document, chunk-max buys coverage at a false alarm rate that grows with length, and chunk-mean suppresses false alarms by diluting real payloads. The follow-through is to choose the rule per channel and per document class, with the length cost measured on the deployment's own carriers before the rule ships.</w:t>
      </w:r>
    </w:p>
    <w:p>
      <w:pPr>
        <w:pStyle w:val="Heading2"/>
      </w:pPr>
      <w:r>
        <w:t>4.3 Experiment 3: position is destiny under truncation</w:t>
      </w:r>
    </w:p>
    <w:p>
      <w:r>
        <w:t>Table III is the cleanest result in the paper. Same carriers, same payloads, three positions. Under truncate, ProtectAI v2 detects 83.3 percent of payloads at the start of a document, 16.7 percent in the middle, and 8.3 percent at the end. The paired contrast between start and end is decisive (McNemar chi-square 25.0, p &lt; 0.000001; 27 documents detected at start and missed at end, zero the other way). Nothing about the payload changed. Only its address did. A detector integrated the standard way is, for most of a long document, a decoration.</w:t>
      </w:r>
    </w:p>
    <w:p>
      <w:r>
        <w:rPr>
          <w:b/>
        </w:rPr>
        <w:t>Table III. Detection rate by payload position (36 carriers per position for pooled rows; slide row covers the 18 medium carriers).</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b/>
              </w:rPr>
              <w:t>Detector / strategy</w:t>
            </w:r>
          </w:p>
        </w:tc>
        <w:tc>
          <w:tcPr>
            <w:tcW w:type="dxa" w:w="2340"/>
          </w:tcPr>
          <w:p>
            <w:r>
              <w:rPr>
                <w:b/>
              </w:rPr>
              <w:t>Payload at start</w:t>
            </w:r>
          </w:p>
        </w:tc>
        <w:tc>
          <w:tcPr>
            <w:tcW w:type="dxa" w:w="2340"/>
          </w:tcPr>
          <w:p>
            <w:r>
              <w:rPr>
                <w:b/>
              </w:rPr>
              <w:t>Payload in middle</w:t>
            </w:r>
          </w:p>
        </w:tc>
        <w:tc>
          <w:tcPr>
            <w:tcW w:type="dxa" w:w="2340"/>
          </w:tcPr>
          <w:p>
            <w:r>
              <w:rPr>
                <w:b/>
              </w:rPr>
              <w:t>Payload at end</w:t>
            </w:r>
          </w:p>
        </w:tc>
      </w:tr>
      <w:tr>
        <w:tc>
          <w:tcPr>
            <w:tcW w:type="dxa" w:w="2340"/>
          </w:tcPr>
          <w:p>
            <w:r>
              <w:t>v2 truncate</w:t>
            </w:r>
          </w:p>
        </w:tc>
        <w:tc>
          <w:tcPr>
            <w:tcW w:type="dxa" w:w="2340"/>
          </w:tcPr>
          <w:p>
            <w:r>
              <w:t>83.3%</w:t>
            </w:r>
          </w:p>
        </w:tc>
        <w:tc>
          <w:tcPr>
            <w:tcW w:type="dxa" w:w="2340"/>
          </w:tcPr>
          <w:p>
            <w:r>
              <w:t>16.7%</w:t>
            </w:r>
          </w:p>
        </w:tc>
        <w:tc>
          <w:tcPr>
            <w:tcW w:type="dxa" w:w="2340"/>
          </w:tcPr>
          <w:p>
            <w:r>
              <w:t>8.3%</w:t>
            </w:r>
          </w:p>
        </w:tc>
      </w:tr>
      <w:tr>
        <w:tc>
          <w:tcPr>
            <w:tcW w:type="dxa" w:w="2340"/>
          </w:tcPr>
          <w:p>
            <w:r>
              <w:t>v2 chunk-max</w:t>
            </w:r>
          </w:p>
        </w:tc>
        <w:tc>
          <w:tcPr>
            <w:tcW w:type="dxa" w:w="2340"/>
          </w:tcPr>
          <w:p>
            <w:r>
              <w:t>83.3%</w:t>
            </w:r>
          </w:p>
        </w:tc>
        <w:tc>
          <w:tcPr>
            <w:tcW w:type="dxa" w:w="2340"/>
          </w:tcPr>
          <w:p>
            <w:r>
              <w:t>38.9%</w:t>
            </w:r>
          </w:p>
        </w:tc>
        <w:tc>
          <w:tcPr>
            <w:tcW w:type="dxa" w:w="2340"/>
          </w:tcPr>
          <w:p>
            <w:r>
              <w:t>75.0%</w:t>
            </w:r>
          </w:p>
        </w:tc>
      </w:tr>
      <w:tr>
        <w:tc>
          <w:tcPr>
            <w:tcW w:type="dxa" w:w="2340"/>
          </w:tcPr>
          <w:p>
            <w:r>
              <w:t>v2 slide (medium carriers only)</w:t>
            </w:r>
          </w:p>
        </w:tc>
        <w:tc>
          <w:tcPr>
            <w:tcW w:type="dxa" w:w="2340"/>
          </w:tcPr>
          <w:p>
            <w:r>
              <w:t>83.3%</w:t>
            </w:r>
          </w:p>
        </w:tc>
        <w:tc>
          <w:tcPr>
            <w:tcW w:type="dxa" w:w="2340"/>
          </w:tcPr>
          <w:p>
            <w:r>
              <w:t>55.6%</w:t>
            </w:r>
          </w:p>
        </w:tc>
        <w:tc>
          <w:tcPr>
            <w:tcW w:type="dxa" w:w="2340"/>
          </w:tcPr>
          <w:p>
            <w:r>
              <w:t>44.4%</w:t>
            </w:r>
          </w:p>
        </w:tc>
      </w:tr>
      <w:tr>
        <w:tc>
          <w:tcPr>
            <w:tcW w:type="dxa" w:w="2340"/>
          </w:tcPr>
          <w:p>
            <w:r>
              <w:t>v1 truncate</w:t>
            </w:r>
          </w:p>
        </w:tc>
        <w:tc>
          <w:tcPr>
            <w:tcW w:type="dxa" w:w="2340"/>
          </w:tcPr>
          <w:p>
            <w:r>
              <w:t>0.0%</w:t>
            </w:r>
          </w:p>
        </w:tc>
        <w:tc>
          <w:tcPr>
            <w:tcW w:type="dxa" w:w="2340"/>
          </w:tcPr>
          <w:p>
            <w:r>
              <w:t>0.0%</w:t>
            </w:r>
          </w:p>
        </w:tc>
        <w:tc>
          <w:tcPr>
            <w:tcW w:type="dxa" w:w="2340"/>
          </w:tcPr>
          <w:p>
            <w:r>
              <w:t>0.0%</w:t>
            </w:r>
          </w:p>
        </w:tc>
      </w:tr>
      <w:tr>
        <w:tc>
          <w:tcPr>
            <w:tcW w:type="dxa" w:w="2340"/>
          </w:tcPr>
          <w:p>
            <w:r>
              <w:t>v1 chunk-max</w:t>
            </w:r>
          </w:p>
        </w:tc>
        <w:tc>
          <w:tcPr>
            <w:tcW w:type="dxa" w:w="2340"/>
          </w:tcPr>
          <w:p>
            <w:r>
              <w:t>0.0%</w:t>
            </w:r>
          </w:p>
        </w:tc>
        <w:tc>
          <w:tcPr>
            <w:tcW w:type="dxa" w:w="2340"/>
          </w:tcPr>
          <w:p>
            <w:r>
              <w:t>0.0%</w:t>
            </w:r>
          </w:p>
        </w:tc>
        <w:tc>
          <w:tcPr>
            <w:tcW w:type="dxa" w:w="2340"/>
          </w:tcPr>
          <w:p>
            <w:r>
              <w:t>13.9%</w:t>
            </w:r>
          </w:p>
        </w:tc>
      </w:tr>
      <w:tr>
        <w:tc>
          <w:tcPr>
            <w:tcW w:type="dxa" w:w="2340"/>
          </w:tcPr>
          <w:p>
            <w:r>
              <w:t>fmops, any strategy</w:t>
            </w:r>
          </w:p>
        </w:tc>
        <w:tc>
          <w:tcPr>
            <w:tcW w:type="dxa" w:w="2340"/>
          </w:tcPr>
          <w:p>
            <w:r>
              <w:t>100.0%</w:t>
            </w:r>
          </w:p>
        </w:tc>
        <w:tc>
          <w:tcPr>
            <w:tcW w:type="dxa" w:w="2340"/>
          </w:tcPr>
          <w:p>
            <w:r>
              <w:t>100.0%</w:t>
            </w:r>
          </w:p>
        </w:tc>
        <w:tc>
          <w:tcPr>
            <w:tcW w:type="dxa" w:w="2340"/>
          </w:tcPr>
          <w:p>
            <w:r>
              <w:t>100.0%</w:t>
            </w:r>
          </w:p>
        </w:tc>
      </w:tr>
      <w:tr>
        <w:tc>
          <w:tcPr>
            <w:tcW w:type="dxa" w:w="2340"/>
          </w:tcPr>
          <w:p>
            <w:r>
              <w:t>Keyword, whole text</w:t>
            </w:r>
          </w:p>
        </w:tc>
        <w:tc>
          <w:tcPr>
            <w:tcW w:type="dxa" w:w="2340"/>
          </w:tcPr>
          <w:p>
            <w:r>
              <w:t>58.3%</w:t>
            </w:r>
          </w:p>
        </w:tc>
        <w:tc>
          <w:tcPr>
            <w:tcW w:type="dxa" w:w="2340"/>
          </w:tcPr>
          <w:p>
            <w:r>
              <w:t>58.3%</w:t>
            </w:r>
          </w:p>
        </w:tc>
        <w:tc>
          <w:tcPr>
            <w:tcW w:type="dxa" w:w="2340"/>
          </w:tcPr>
          <w:p>
            <w:r>
              <w:t>55.6%</w:t>
            </w:r>
          </w:p>
        </w:tc>
      </w:tr>
      <w:tr>
        <w:tc>
          <w:tcPr>
            <w:tcW w:type="dxa" w:w="2340"/>
          </w:tcPr>
          <w:p>
            <w:r>
              <w:t>Keyword, first-380-words only</w:t>
            </w:r>
          </w:p>
        </w:tc>
        <w:tc>
          <w:tcPr>
            <w:tcW w:type="dxa" w:w="2340"/>
          </w:tcPr>
          <w:p>
            <w:r>
              <w:t>58.3%</w:t>
            </w:r>
          </w:p>
        </w:tc>
        <w:tc>
          <w:tcPr>
            <w:tcW w:type="dxa" w:w="2340"/>
          </w:tcPr>
          <w:p>
            <w:r>
              <w:t>27.8%</w:t>
            </w:r>
          </w:p>
        </w:tc>
        <w:tc>
          <w:tcPr>
            <w:tcW w:type="dxa" w:w="2340"/>
          </w:tcPr>
          <w:p>
            <w:r>
              <w:t>2.8%</w:t>
            </w:r>
          </w:p>
        </w:tc>
      </w:tr>
    </w:tbl>
    <w:p>
      <w:r>
        <w:t>Chunk-max scanning recovers the end of the document: 75.0 percent pooled, 77.8 percent on long carriers. The middle recovers less well, at 38.9 percent. The per-bin split explains why. A payload planted mid-document can straddle a chunk boundary and arrive at the model in two halves, each half too weak to fire. Sliding windows exist for exactly this case. On medium carriers, slide lifts middle detection to 55.6 percent, at almost no extra window cost on documents of this size: 1.78 windows per document against 1.72 for chunk-max, because the overlap only starts to bite on longer documents. The keyword rows confirm the mechanism with no learning involved. Applied to whole text, the same patterns are position-flat (58.3, 58.3, 55.6). Applied to a prefix only (the first 380 words, approximating the 510-token prefix), they reproduce the collapse (58.3, 27.8, 2.8). Position blindness is a property of the scanning strategy, not of any model. Two more rows deserve plain words. ProtectAI v1 detects almost nothing once a payload is embedded in benign text, at any position, under any strategy (best per-bin cell 22.2 percent, most pooled cells zero). Dilution defeats it completely, a failure mode its respectable standalone recall of 45.3 percent never hints at. The fmops row reads 100 percent everywhere because the model flags the benign carriers themselves. A detection rate measured against a 100 percent false positive rate carries no information, and the row is included only to stop anyone citing it as a success.</w:t>
      </w:r>
    </w:p>
    <w:p>
      <w:r>
        <w:t>Mitigation state for this findings group: position blindness has a working fix, and the fix is windowed scanning. Chunk-max recovers the end of the document, and the sliding window covers payloads that straddle a chunk boundary on medium carriers. The follow-through is priced in the mitigation counter-test: more windows per document, and a higher false positive rate on long benign documents.</w:t>
      </w:r>
    </w:p>
    <w:p>
      <w:pPr>
        <w:pStyle w:val="Heading2"/>
      </w:pPr>
      <w:r>
        <w:t>4.4 Experiment 4: the threshold is the wrong lever</w:t>
      </w:r>
    </w:p>
    <w:p>
      <w:r>
        <w:t>H4 predicted that buying a 1 percent false positive rate would cost at least 10 points of recall. The measurement came back harsher. On the KEV channel alone the question is moot for the ProtectAI models, whose false positive rate there is already zero, and hopeless for the fmops model, which flags all of it. On the channels that false-fire, the 1 percent operating point does not exist at any threshold in the sweep. Table IV shows why. These detectors are bimodal. Scores sit near zero or near one, with little in between. A benign item that false-fires usually does so at full confidence: ProtectAI v2's median score on quoted analyst notes is 1.0, and 4.3 percent of all benign items in the study score at 0.999999 or above. Raising the threshold to 0.9999 cuts v2's pooled false positive rate only from 14.5 to 7.5 percent, leaves the quoted channel at 88.3 percent, and in exchange burns recall from 41.4 down to 20.5 percent. The trade pays half the detection and keeps almost nine tenths of the worst false alarms. The fmops model has no usable threshold in the grid at all. At 0.999 it still flags 62.4 percent of benign items. At 0.9999 every score in the study, attacks included, falls below the line, because its outputs cluster between 0.999 and 0.9999. A control whose only settings are “alarm on most security text” and “off” is not a control.</w:t>
      </w:r>
    </w:p>
    <w:p>
      <w:r>
        <w:rPr>
          <w:b/>
        </w:rPr>
        <w:t>Table IV. Threshold sweep. Pooled benign covers all six channels (n=1,528). fmops at 0.9999 collapses because all of its scores fall below that line.</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Pr>
                <w:b/>
              </w:rPr>
              <w:t>Threshold</w:t>
            </w:r>
          </w:p>
        </w:tc>
        <w:tc>
          <w:tcPr>
            <w:tcW w:type="dxa" w:w="1170"/>
          </w:tcPr>
          <w:p>
            <w:r>
              <w:rPr>
                <w:b/>
              </w:rPr>
              <w:t>v2 pooled benign FPR</w:t>
            </w:r>
          </w:p>
        </w:tc>
        <w:tc>
          <w:tcPr>
            <w:tcW w:type="dxa" w:w="1170"/>
          </w:tcPr>
          <w:p>
            <w:r>
              <w:rPr>
                <w:b/>
              </w:rPr>
              <w:t>v2 quoted-note FPR</w:t>
            </w:r>
          </w:p>
        </w:tc>
        <w:tc>
          <w:tcPr>
            <w:tcW w:type="dxa" w:w="1170"/>
          </w:tcPr>
          <w:p>
            <w:r>
              <w:rPr>
                <w:b/>
              </w:rPr>
              <w:t>v2 A1 recall</w:t>
            </w:r>
          </w:p>
        </w:tc>
        <w:tc>
          <w:tcPr>
            <w:tcW w:type="dxa" w:w="1170"/>
          </w:tcPr>
          <w:p>
            <w:r>
              <w:rPr>
                <w:b/>
              </w:rPr>
              <w:t>v1 pooled benign FPR</w:t>
            </w:r>
          </w:p>
        </w:tc>
        <w:tc>
          <w:tcPr>
            <w:tcW w:type="dxa" w:w="1170"/>
          </w:tcPr>
          <w:p>
            <w:r>
              <w:rPr>
                <w:b/>
              </w:rPr>
              <w:t>v1 A1 recall</w:t>
            </w:r>
          </w:p>
        </w:tc>
        <w:tc>
          <w:tcPr>
            <w:tcW w:type="dxa" w:w="1170"/>
          </w:tcPr>
          <w:p>
            <w:r>
              <w:rPr>
                <w:b/>
              </w:rPr>
              <w:t>fmops pooled benign FPR</w:t>
            </w:r>
          </w:p>
        </w:tc>
        <w:tc>
          <w:tcPr>
            <w:tcW w:type="dxa" w:w="1170"/>
          </w:tcPr>
          <w:p>
            <w:r>
              <w:rPr>
                <w:b/>
              </w:rPr>
              <w:t>fmops A1 recall</w:t>
            </w:r>
          </w:p>
        </w:tc>
      </w:tr>
      <w:tr>
        <w:tc>
          <w:tcPr>
            <w:tcW w:type="dxa" w:w="1170"/>
          </w:tcPr>
          <w:p>
            <w:r>
              <w:t>0.5</w:t>
            </w:r>
          </w:p>
        </w:tc>
        <w:tc>
          <w:tcPr>
            <w:tcW w:type="dxa" w:w="1170"/>
          </w:tcPr>
          <w:p>
            <w:r>
              <w:t>14.5%</w:t>
            </w:r>
          </w:p>
        </w:tc>
        <w:tc>
          <w:tcPr>
            <w:tcW w:type="dxa" w:w="1170"/>
          </w:tcPr>
          <w:p>
            <w:r>
              <w:t>100.0%</w:t>
            </w:r>
          </w:p>
        </w:tc>
        <w:tc>
          <w:tcPr>
            <w:tcW w:type="dxa" w:w="1170"/>
          </w:tcPr>
          <w:p>
            <w:r>
              <w:t>41.4%</w:t>
            </w:r>
          </w:p>
        </w:tc>
        <w:tc>
          <w:tcPr>
            <w:tcW w:type="dxa" w:w="1170"/>
          </w:tcPr>
          <w:p>
            <w:r>
              <w:t>8.1%</w:t>
            </w:r>
          </w:p>
        </w:tc>
        <w:tc>
          <w:tcPr>
            <w:tcW w:type="dxa" w:w="1170"/>
          </w:tcPr>
          <w:p>
            <w:r>
              <w:t>45.3%</w:t>
            </w:r>
          </w:p>
        </w:tc>
        <w:tc>
          <w:tcPr>
            <w:tcW w:type="dxa" w:w="1170"/>
          </w:tcPr>
          <w:p>
            <w:r>
              <w:t>90.1%</w:t>
            </w:r>
          </w:p>
        </w:tc>
        <w:tc>
          <w:tcPr>
            <w:tcW w:type="dxa" w:w="1170"/>
          </w:tcPr>
          <w:p>
            <w:r>
              <w:t>95.8%</w:t>
            </w:r>
          </w:p>
        </w:tc>
      </w:tr>
      <w:tr>
        <w:tc>
          <w:tcPr>
            <w:tcW w:type="dxa" w:w="1170"/>
          </w:tcPr>
          <w:p>
            <w:r>
              <w:t>0.9</w:t>
            </w:r>
          </w:p>
        </w:tc>
        <w:tc>
          <w:tcPr>
            <w:tcW w:type="dxa" w:w="1170"/>
          </w:tcPr>
          <w:p>
            <w:r>
              <w:t>13.4%</w:t>
            </w:r>
          </w:p>
        </w:tc>
        <w:tc>
          <w:tcPr>
            <w:tcW w:type="dxa" w:w="1170"/>
          </w:tcPr>
          <w:p>
            <w:r>
              <w:t>100.0%</w:t>
            </w:r>
          </w:p>
        </w:tc>
        <w:tc>
          <w:tcPr>
            <w:tcW w:type="dxa" w:w="1170"/>
          </w:tcPr>
          <w:p>
            <w:r>
              <w:t>39.2%</w:t>
            </w:r>
          </w:p>
        </w:tc>
        <w:tc>
          <w:tcPr>
            <w:tcW w:type="dxa" w:w="1170"/>
          </w:tcPr>
          <w:p>
            <w:r>
              <w:t>8.1%</w:t>
            </w:r>
          </w:p>
        </w:tc>
        <w:tc>
          <w:tcPr>
            <w:tcW w:type="dxa" w:w="1170"/>
          </w:tcPr>
          <w:p>
            <w:r>
              <w:t>44.5%</w:t>
            </w:r>
          </w:p>
        </w:tc>
        <w:tc>
          <w:tcPr>
            <w:tcW w:type="dxa" w:w="1170"/>
          </w:tcPr>
          <w:p>
            <w:r>
              <w:t>89.7%</w:t>
            </w:r>
          </w:p>
        </w:tc>
        <w:tc>
          <w:tcPr>
            <w:tcW w:type="dxa" w:w="1170"/>
          </w:tcPr>
          <w:p>
            <w:r>
              <w:t>95.8%</w:t>
            </w:r>
          </w:p>
        </w:tc>
      </w:tr>
      <w:tr>
        <w:tc>
          <w:tcPr>
            <w:tcW w:type="dxa" w:w="1170"/>
          </w:tcPr>
          <w:p>
            <w:r>
              <w:t>0.99</w:t>
            </w:r>
          </w:p>
        </w:tc>
        <w:tc>
          <w:tcPr>
            <w:tcW w:type="dxa" w:w="1170"/>
          </w:tcPr>
          <w:p>
            <w:r>
              <w:t>11.3%</w:t>
            </w:r>
          </w:p>
        </w:tc>
        <w:tc>
          <w:tcPr>
            <w:tcW w:type="dxa" w:w="1170"/>
          </w:tcPr>
          <w:p>
            <w:r>
              <w:t>100.0%</w:t>
            </w:r>
          </w:p>
        </w:tc>
        <w:tc>
          <w:tcPr>
            <w:tcW w:type="dxa" w:w="1170"/>
          </w:tcPr>
          <w:p>
            <w:r>
              <w:t>34.6%</w:t>
            </w:r>
          </w:p>
        </w:tc>
        <w:tc>
          <w:tcPr>
            <w:tcW w:type="dxa" w:w="1170"/>
          </w:tcPr>
          <w:p>
            <w:r>
              <w:t>5.5%</w:t>
            </w:r>
          </w:p>
        </w:tc>
        <w:tc>
          <w:tcPr>
            <w:tcW w:type="dxa" w:w="1170"/>
          </w:tcPr>
          <w:p>
            <w:r>
              <w:t>32.3%</w:t>
            </w:r>
          </w:p>
        </w:tc>
        <w:tc>
          <w:tcPr>
            <w:tcW w:type="dxa" w:w="1170"/>
          </w:tcPr>
          <w:p>
            <w:r>
              <w:t>87.5%</w:t>
            </w:r>
          </w:p>
        </w:tc>
        <w:tc>
          <w:tcPr>
            <w:tcW w:type="dxa" w:w="1170"/>
          </w:tcPr>
          <w:p>
            <w:r>
              <w:t>95.4%</w:t>
            </w:r>
          </w:p>
        </w:tc>
      </w:tr>
      <w:tr>
        <w:tc>
          <w:tcPr>
            <w:tcW w:type="dxa" w:w="1170"/>
          </w:tcPr>
          <w:p>
            <w:r>
              <w:t>0.999</w:t>
            </w:r>
          </w:p>
        </w:tc>
        <w:tc>
          <w:tcPr>
            <w:tcW w:type="dxa" w:w="1170"/>
          </w:tcPr>
          <w:p>
            <w:r>
              <w:t>9.1%</w:t>
            </w:r>
          </w:p>
        </w:tc>
        <w:tc>
          <w:tcPr>
            <w:tcW w:type="dxa" w:w="1170"/>
          </w:tcPr>
          <w:p>
            <w:r>
              <w:t>96.7%</w:t>
            </w:r>
          </w:p>
        </w:tc>
        <w:tc>
          <w:tcPr>
            <w:tcW w:type="dxa" w:w="1170"/>
          </w:tcPr>
          <w:p>
            <w:r>
              <w:t>25.9%</w:t>
            </w:r>
          </w:p>
        </w:tc>
        <w:tc>
          <w:tcPr>
            <w:tcW w:type="dxa" w:w="1170"/>
          </w:tcPr>
          <w:p>
            <w:r>
              <w:t>4.8%</w:t>
            </w:r>
          </w:p>
        </w:tc>
        <w:tc>
          <w:tcPr>
            <w:tcW w:type="dxa" w:w="1170"/>
          </w:tcPr>
          <w:p>
            <w:r>
              <w:t>27.8%</w:t>
            </w:r>
          </w:p>
        </w:tc>
        <w:tc>
          <w:tcPr>
            <w:tcW w:type="dxa" w:w="1170"/>
          </w:tcPr>
          <w:p>
            <w:r>
              <w:t>62.4%</w:t>
            </w:r>
          </w:p>
        </w:tc>
        <w:tc>
          <w:tcPr>
            <w:tcW w:type="dxa" w:w="1170"/>
          </w:tcPr>
          <w:p>
            <w:r>
              <w:t>92.8%</w:t>
            </w:r>
          </w:p>
        </w:tc>
      </w:tr>
      <w:tr>
        <w:tc>
          <w:tcPr>
            <w:tcW w:type="dxa" w:w="1170"/>
          </w:tcPr>
          <w:p>
            <w:r>
              <w:t>0.9999</w:t>
            </w:r>
          </w:p>
        </w:tc>
        <w:tc>
          <w:tcPr>
            <w:tcW w:type="dxa" w:w="1170"/>
          </w:tcPr>
          <w:p>
            <w:r>
              <w:t>7.5%</w:t>
            </w:r>
          </w:p>
        </w:tc>
        <w:tc>
          <w:tcPr>
            <w:tcW w:type="dxa" w:w="1170"/>
          </w:tcPr>
          <w:p>
            <w:r>
              <w:t>88.3%</w:t>
            </w:r>
          </w:p>
        </w:tc>
        <w:tc>
          <w:tcPr>
            <w:tcW w:type="dxa" w:w="1170"/>
          </w:tcPr>
          <w:p>
            <w:r>
              <w:t>20.5%</w:t>
            </w:r>
          </w:p>
        </w:tc>
        <w:tc>
          <w:tcPr>
            <w:tcW w:type="dxa" w:w="1170"/>
          </w:tcPr>
          <w:p>
            <w:r>
              <w:t>4.0%</w:t>
            </w:r>
          </w:p>
        </w:tc>
        <w:tc>
          <w:tcPr>
            <w:tcW w:type="dxa" w:w="1170"/>
          </w:tcPr>
          <w:p>
            <w:r>
              <w:t>23.6%</w:t>
            </w:r>
          </w:p>
        </w:tc>
        <w:tc>
          <w:tcPr>
            <w:tcW w:type="dxa" w:w="1170"/>
          </w:tcPr>
          <w:p>
            <w:r>
              <w:t>0.0%</w:t>
            </w:r>
          </w:p>
        </w:tc>
        <w:tc>
          <w:tcPr>
            <w:tcW w:type="dxa" w:w="1170"/>
          </w:tcPr>
          <w:p>
            <w:r>
              <w:t>0.0%</w:t>
            </w:r>
          </w:p>
        </w:tc>
      </w:tr>
    </w:tbl>
    <w:p>
      <w:r>
        <w:t>Threshold tuning is the first thing every deployment guide suggests and the first thing every team tries. For saturated detectors it is theater. The scores carry no graded doubt to trade against. If a vendor's answer to false positives is a threshold slider, the score histogram on the deployment's own traffic is the evidence to demand. If the histogram has two spikes and no middle, the slider is decoration, same as the truncating scanner in Section 4.3.</w:t>
      </w:r>
    </w:p>
    <w:p>
      <w:pPr>
        <w:pStyle w:val="Heading2"/>
      </w:pPr>
      <w:r>
        <w:t>4.5 Experiment 5: the mitigation that works, priced</w:t>
      </w:r>
    </w:p>
    <w:p>
      <w:r>
        <w:t>The counter-test asks what a deployment can actually do, with each option measured on the same items. Option one, threshold retuning, fails per Section 4.4. Option two, windowed scanning, works on the problem it targets: chunk-max lifts end-of-document detection from 8.3 to 75.0 percent and slide lifts middle detection on medium carriers to 55.6 percent. Its costs are now on the record too. On benign long carriers, chunk-max raises the false positive rate from 6.0 to 18.0 percent. On compute, the window counts are exact (ProtectAI tokenizer, counted over the 108 spliced documents): truncate evaluates 1.0 window per document, chunk-max 3.4, and slide 6.8. On this shared 2-vCPU machine the windowed runs took roughly three to ten seconds per long document against under three for truncate; treat the seconds as relative, the window counts as exact. Option three follows from Experiment 1 rather than from a knob: route by channel. Analyst notes, incident write-ups, and access review queues are channels where a detector verdict should annotate and queue for a human, not block, because the measured false positive rates there (21.9 to 100 percent for the learned detectors) guarantee the block lands on staff doing incident work. CVE summarization, the channel that measured clean, can carry a stricter posture. Channel routing is presented as a recommendation that follows from the measurements, not as a measured result; testing it live is future work, and Section 5 keeps that distinction.</w:t>
      </w:r>
    </w:p>
    <w:p>
      <w:pPr>
        <w:pStyle w:val="Heading1"/>
      </w:pPr>
      <w:r>
        <w:t>5. Discussion</w:t>
      </w:r>
    </w:p>
    <w:p>
      <w:pPr>
        <w:pStyle w:val="Heading2"/>
      </w:pPr>
      <w:r>
        <w:t>5.1 What this means for a deployment review</w:t>
      </w:r>
    </w:p>
    <w:p>
      <w:r>
        <w:t>False positives are a channel problem, not a model constant. For a reviewer assessing a copilot deployment, this study changes four questions. What is the detector's false positive rate on the organization's own incident notes, remediation text, and access review instructions, measured on the organization's own samples? Not the card number; the channel numbers. How does the integration handle a ten-page document, in windows or by amputation? What does the score distribution look like on the organization's own traffic, and does a middle exist for a threshold to trade in? And when the detector fires on an analyst quoting a payload, what happens: a block, or a note a human reads? None of these questions needs the corpora of this study to answer. They need an afternoon with the team's own text, which is rather the point. The detectors are not fraudulent and the model cards are not lying about their evaluation sets. The failure is a measurement habit: one pooled number, earned on short generic text, carried into channels it never described.</w:t>
      </w:r>
    </w:p>
    <w:p>
      <w:r>
        <w:t>Put in operating terms, the threshold sweep is a bad bargain at both ends. At the shipped 0.5 threshold, v2's pooled false positive rate is 14.5 percent. Every one of those blocks lands on legitimate work, where it becomes a ticket, a reworded request, or a quiet decision to route around the copilot. Raise the threshold to 0.9999 and the pooled rate falls only to 7.5 percent, recall falls from 41.4 to 20.5 percent, and quoted analyst notes still flag at 88.3 percent. The handling cost barely moves. The detection is halved.</w:t>
      </w:r>
    </w:p>
    <w:p>
      <w:r>
        <w:t>The safe posture therefore depends on the channel, and Table I is the map. On CISA vulnerability text, where v2 flags 0.0 percent, a blocking posture is defensible on this evidence. On IAM admin text at 21.9 percent, and on analyst notes quoting a payload at 100 percent, the same detector should annotate and queue for a human rather than block. The fmops detector flags 100 percent of the CISA, IAM, and quoted channels outright, so on this evidence it is not safe to enforce on any security channel, whatever its 95.8 percent benchmark recall suggests.</w:t>
      </w:r>
    </w:p>
    <w:p>
      <w:r>
        <w:t>A model card that reports one pooled accuracy hides every one of these failures. A report that would expose them has to carry false positive rates per channel rather than pooled, detection by payload position and document length rather than on short prompts alone, and the distribution of scores on benign traffic, so a buyer can see whether the scores leave a middle for a threshold to trade in. Vendors do not have to guess what to publish. The measurements are the ones in Section 4, and until a card carries them, the buyer has to run them.</w:t>
      </w:r>
    </w:p>
    <w:p>
      <w:pPr>
        <w:pStyle w:val="Heading2"/>
      </w:pPr>
      <w:r>
        <w:t>5.2 Limitations</w:t>
      </w:r>
    </w:p>
    <w:p>
      <w:r>
        <w:t>The limits are real and belong where a reviewer can find them. First, the carriers are concatenations of public benign blocks. They control length and position exactly, and they are not natural documents; a real ten-page incident report has structure these carriers lack, and both the length curve and the position numbers would move on natural text. The mechanism results (truncation blindness, chunk-max cost growth, keyword prefix collapse) do not depend on naturalness. The exact percentages do. Second, B3 is CISA catalog text. It is current and authoritative, and it is one slice of security writing: no internal tickets, no chat logs, no vendor advisories were measured, because none are public in usable form and employer text was out of scope by design. Third, B3q and B4 are authored sets, 60 and 73 items. They are probes with stated label rules, not population samples; the quoted-note result is strong (60 of 60 at full confidence) but a larger, independently authored set could soften the IAM numbers. Fourth, the detectors were tested as shipped: English only, three detectors, one gated flagship excluded, ONNX exports rather than PyTorch checkpoints (scores can differ in the third decimal, not in kind). Fifth, chunk strategies on the extra-long bin and slide on long carriers for v2 were cut for compute on a shared machine; the bins and arms that remain still cross the 512-token boundary by a wide margin, but the missing cells are missing, and the missing cells are marked instead of filled with prose. Sixth, the attack side is a benchmark, not the field. A1 is a noisy benchmark and one detector trained on it, so recall figures are comparative, not field estimates, and nothing here measures adaptive attackers, commercial guardrails, or any specific product's production pipeline. What would change the conclusions is plain. Natural documents could move the length and position rates, though not the mechanisms behind them, and a detector whose benign scores were not saturated would break the threshold result; for the detectors measured here, Table IV bounds what retuning costs. The claims are about these models, these strategies, and this traffic shape.</w:t>
      </w:r>
    </w:p>
    <w:p>
      <w:pPr>
        <w:pStyle w:val="Heading2"/>
      </w:pPr>
      <w:r>
        <w:t>5.3 Future Work</w:t>
      </w:r>
    </w:p>
    <w:p>
      <w:r>
        <w:t>Three follow-ups matter most. A natural-document replication: real long incident reports and ticket threads, collected with permission and redaction, to test whether the length and position curves hold off synthetic carriers. A quoted-content study at scale: how detectors treat payloads inside quotation, code fences, and log excerpts across framings, since quoted content is where security work and attack text legitimately meet. And a live channel-routing trial: measure analyst throughput and true attack catch with detector verdicts routed differently per channel, which would convert Section 4.5's recommendation into a measurement. A further open topic is permission leakage at the retrieval layer of enterprise RAG; it shares the moral of this study, that the layer nobody measures is the layer that leaks.</w:t>
      </w:r>
    </w:p>
    <w:p>
      <w:pPr>
        <w:pStyle w:val="Heading1"/>
      </w:pPr>
      <w:r>
        <w:t>6. Conclusion</w:t>
      </w:r>
    </w:p>
    <w:p>
      <w:r>
        <w:t>The guardrail cries wolf, but only in certain pastures, and that is what makes the problem hard to see from a model card. On CISA vulnerability prose the leading open detector is flawless across a thousand documents. On the text security teams write when they are doing their jobs (remediation steps, access instructions, incident notes quoting the attack), it flags a fifth to all of it, at full confidence. Its score distribution has no middle for a threshold to work in. Point the same detector at a long document the standard way and it reads the first page: nine of ten payloads planted at the end walk past it. The fixes are known and now priced. Scan in windows and pay roughly triple the false alarms on long benign documents plus several times the compute. Route by channel and keep the detector's verdict advisory where an organization's own staff are the traffic. Above all, measurement belongs on the deployment's own channels before deployment, because the number on the card was never measured there.</w:t>
      </w:r>
    </w:p>
    <w:p>
      <w:pPr>
        <w:pStyle w:val="Heading1"/>
      </w:pPr>
      <w:r>
        <w:t>Acknowledgments</w:t>
      </w:r>
    </w:p>
    <w:p>
      <w:r>
        <w:t>The author thanks the CISA Known Exploited Vulnerabilities catalog team, the InjecGuard authors for the public NotInject data, and the deepset project for its public benchmark, without which the experiments in this paper would not have been possible.</w:t>
      </w:r>
    </w:p>
    <w:p>
      <w:r>
        <w:t>AI Disclosure: AI tools were used to assist in drafting and editing this paper. All claims, data, and conclusions were reviewed and verified by the author.</w:t>
      </w:r>
    </w:p>
    <w:p>
      <w:pPr>
        <w:pStyle w:val="Heading1"/>
      </w:pPr>
      <w:r>
        <w:t>References</w:t>
      </w:r>
    </w:p>
    <w:p>
      <w:r>
        <w:t>[1] K. Greshake, S. Abdelnabi, S. Mishra, C. Endres, T. Holz, and M. Fritz, “Not What You've Signed Up For: Compromising Real-World LLM-Integrated Applications with Indirect Prompt Injection,” in Proc. 16th ACM Workshop on Artificial Intelligence and Security (AISec '23), 2023, pp. 79-90, doi: 10.1145/3605764.3623985.</w:t>
      </w:r>
    </w:p>
    <w:p>
      <w:r>
        <w:t>[2] J. Yi, Y. Xie, B. Zhu, E. Kiciman, G. Sun, X. Xie, and F. Wu, “Benchmarking and Defending Against Indirect Prompt Injection Attacks on Large Language Models,” arXiv:2312.14197, 2023.</w:t>
      </w:r>
    </w:p>
    <w:p>
      <w:r>
        <w:t>[3] E. Debenedetti, J. Zhang, M. Balunovic, L. Beurer-Kellner, M. Fischer, and F. Tramer, “AgentDojo: A Dynamic Environment to Evaluate Prompt Injection Attacks and Defenses for LLM Agents,” arXiv:2406.13352, 2024.</w:t>
      </w:r>
    </w:p>
    <w:p>
      <w:r>
        <w:t>[4] Q. Zhan, Z. Liang, Z. Ying, and D. Kang, “InjecAgent: Benchmarking Indirect Prompt Injections in Tool-Integrated Large Language Model Agents,” arXiv:2403.02691, 2024.</w:t>
      </w:r>
    </w:p>
    <w:p>
      <w:r>
        <w:t>[5] Y. Liu, Y. Jia, J. Jia, D. Song, and N. Z. Gong, “DataSentinel: A Game-Theoretic Detection of Prompt Injection Attacks,” in Proc. IEEE Symposium on Security and Privacy, 2025, pp. 2190-2208.</w:t>
      </w:r>
    </w:p>
    <w:p>
      <w:r>
        <w:t>[6] S. Chen, J. Piet, C. Sitawarin, and D. Wagner, “StruQ: Defending Against Prompt Injection with Structured Queries,” in Proc. USENIX Security Symposium, 2025.</w:t>
      </w:r>
    </w:p>
    <w:p>
      <w:r>
        <w:t>[7] M. Nasr, N. Carlini, C. Sitawarin, S. V. Schulhoff, J. Hayes, M. Ilie, J. Pluto, S. Song, H. Chaudhari, I. Shumailov, A. Thakurta, K. Y. Xiao, A. Terzis, and F. Tramer, “The Attacker Moves Second: Stronger Adaptive Attacks Bypass Defenses Against LLM Jailbreaks and Prompt Injections,” arXiv:2510.09023, 2025.</w:t>
      </w:r>
    </w:p>
    <w:p>
      <w:r>
        <w:t>[8] H. Li and X. Liu, “InjecGuard: Benchmarking and Mitigating Over-defense in Prompt Injection Guardrail Models,” arXiv:2410.22770, 2024.</w:t>
      </w:r>
    </w:p>
    <w:p>
      <w:r>
        <w:t>[9] H. Li, X. Liu, N. Zhang, and C. Xiao, “PIGuard: Prompt Injection Guardrail via Mitigating Overdefense for Free,” in Findings of the Association for Computational Linguistics: ACL 2025, 2025, pp. 10310-10326, doi: 10.18653/v1/2025.findings-acl.537.</w:t>
      </w:r>
    </w:p>
    <w:p>
      <w:r>
        <w:t>[10] ProtectAI, “deberta-v3-base-prompt-injection-v2,” Hugging Face model card, 2024. [Online]. Available: https://huggingface.co/protectai/deberta-v3-base-prompt-injection-v2</w:t>
      </w:r>
    </w:p>
    <w:p>
      <w:r>
        <w:t>[11] fmops, “distilbert-prompt-injection,” Hugging Face model card. [Online]. Available: https://huggingface.co/fmops/distilbert-prompt-injection (ONNX export: protectai/fmops-distilbert-prompt-injection-onnx).</w:t>
      </w:r>
    </w:p>
    <w:p>
      <w:r>
        <w:t>[12] A. Vassilev, A. Oprea, A. Fordyce, H. Anderson, X. Davies, and M. Hamin, “Adversarial Machine Learning: A Taxonomy and Terminology of Attacks and Mitigations,” NIST AI 100-2e2025, National Institute of Standards and Technology, 2025, doi: 10.6028/NIST.AI.100-2e2025.</w:t>
      </w:r>
    </w:p>
    <w:p>
      <w:r>
        <w:t>[13] OWASP GenAI Security Project, “LLM01:2025 Prompt Injection,” OWASP Top 10 for LLM Applications 2025. [Online]. Available: https://genai.owasp.org/llmrisk/llm01-prompt-injection/</w:t>
      </w:r>
    </w:p>
    <w:p>
      <w:r>
        <w:t>[14] J. Chao et al., “Llama Prompt Guard 2,” arXiv:2507.13228, 2025.</w:t>
      </w:r>
    </w:p>
    <w:p>
      <w:r>
        <w:t>[15] Unit 42, Palo Alto Networks, “How Good Are the LLM Guardrails on the Market? A Comparative Study on the Effectiveness of LLM Content Filtering Across Major GenAI Platforms,” 2025 (non-peer-reviewed practitioner study).</w:t>
      </w:r>
    </w:p>
    <w:p>
      <w:r>
        <w:t>[16] deepset, “prompt-injections,” Hugging Face dataset. [Online]. Available: https://huggingface.co/datasets/deepset/prompt-injections (snapshot used: 662 rows, train 546 and test 116, downloaded October 19, 2026).</w:t>
      </w:r>
    </w:p>
    <w:p>
      <w:r>
        <w:t>[17] Cybersecurity and Infrastructure Security Agency, “Known Exploited Vulnerabilities Catalog,” 2026. [Online]. Available: https://www.cisa.gov/known-exploited-vulnerabilities-catalog (snapshot of 1,748 entries downloaded October 19, 2026).</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Guardrail Cries Wolf: Prompt-Injection Detectors on the Text Security Teams Actually Send Them</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